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66" w:rsidRPr="009437D7" w:rsidRDefault="003E7366" w:rsidP="00A05477">
      <w:pPr>
        <w:jc w:val="center"/>
        <w:rPr>
          <w:rFonts w:ascii="Verdana" w:hAnsi="Verdana" w:cs="Tahoma"/>
          <w:b/>
          <w:sz w:val="20"/>
          <w:szCs w:val="20"/>
        </w:rPr>
      </w:pPr>
      <w:r w:rsidRPr="009437D7">
        <w:rPr>
          <w:rFonts w:ascii="Verdana" w:hAnsi="Verdana" w:cs="Tahoma"/>
          <w:b/>
          <w:sz w:val="20"/>
          <w:szCs w:val="20"/>
        </w:rPr>
        <w:t xml:space="preserve">A TUTTO IL PERSONALE </w:t>
      </w:r>
      <w:proofErr w:type="spellStart"/>
      <w:r w:rsidRPr="009437D7">
        <w:rPr>
          <w:rFonts w:ascii="Verdana" w:hAnsi="Verdana" w:cs="Tahoma"/>
          <w:b/>
          <w:sz w:val="20"/>
          <w:szCs w:val="20"/>
        </w:rPr>
        <w:t>DI</w:t>
      </w:r>
      <w:proofErr w:type="spellEnd"/>
      <w:r w:rsidRPr="009437D7">
        <w:rPr>
          <w:rFonts w:ascii="Verdana" w:hAnsi="Verdana" w:cs="Tahoma"/>
          <w:b/>
          <w:sz w:val="20"/>
          <w:szCs w:val="20"/>
        </w:rPr>
        <w:t xml:space="preserve"> </w:t>
      </w:r>
      <w:r w:rsidR="000A1361">
        <w:rPr>
          <w:rFonts w:ascii="Verdana" w:hAnsi="Verdana" w:cs="Tahoma"/>
          <w:b/>
          <w:sz w:val="20"/>
          <w:szCs w:val="20"/>
        </w:rPr>
        <w:t>ASP BASSO LODIGIANO</w:t>
      </w:r>
    </w:p>
    <w:p w:rsidR="003E7366" w:rsidRPr="009437D7" w:rsidRDefault="0005759E">
      <w:pPr>
        <w:rPr>
          <w:rFonts w:ascii="Verdana" w:hAnsi="Verdana" w:cs="Tahoma"/>
          <w:b/>
          <w:sz w:val="20"/>
          <w:szCs w:val="20"/>
        </w:rPr>
      </w:pPr>
      <w:r w:rsidRPr="009437D7">
        <w:rPr>
          <w:rFonts w:ascii="Verdana" w:hAnsi="Verdana" w:cs="Tahoma"/>
          <w:b/>
          <w:sz w:val="20"/>
          <w:szCs w:val="20"/>
        </w:rPr>
        <w:t>1.</w:t>
      </w:r>
      <w:r w:rsidR="003E7366" w:rsidRPr="009437D7">
        <w:rPr>
          <w:rFonts w:ascii="Verdana" w:hAnsi="Verdana" w:cs="Tahoma"/>
          <w:b/>
          <w:sz w:val="20"/>
          <w:szCs w:val="20"/>
        </w:rPr>
        <w:t>PREMESSA</w:t>
      </w:r>
    </w:p>
    <w:p w:rsidR="003E7366" w:rsidRPr="009437D7" w:rsidRDefault="0005759E" w:rsidP="003B2F63">
      <w:pPr>
        <w:jc w:val="both"/>
        <w:rPr>
          <w:rFonts w:ascii="Verdana" w:hAnsi="Verdana"/>
          <w:sz w:val="20"/>
          <w:szCs w:val="20"/>
          <w:lang w:eastAsia="it-IT"/>
        </w:rPr>
      </w:pPr>
      <w:r w:rsidRPr="009437D7">
        <w:rPr>
          <w:rFonts w:ascii="Verdana" w:hAnsi="Verdana"/>
          <w:sz w:val="20"/>
          <w:szCs w:val="20"/>
          <w:lang w:eastAsia="it-IT"/>
        </w:rPr>
        <w:t xml:space="preserve">1.1 </w:t>
      </w:r>
      <w:r w:rsidR="002B05BD">
        <w:rPr>
          <w:rFonts w:ascii="Verdana" w:hAnsi="Verdana"/>
          <w:sz w:val="20"/>
          <w:szCs w:val="20"/>
          <w:lang w:eastAsia="it-IT"/>
        </w:rPr>
        <w:t>Ai sensi della L.</w:t>
      </w:r>
      <w:r w:rsidR="003B2F63">
        <w:rPr>
          <w:rFonts w:ascii="Verdana" w:hAnsi="Verdana"/>
          <w:sz w:val="20"/>
          <w:szCs w:val="20"/>
          <w:lang w:eastAsia="it-IT"/>
        </w:rPr>
        <w:t>190/2012 (</w:t>
      </w:r>
      <w:r w:rsidR="003B2F63" w:rsidRPr="003B2F63">
        <w:rPr>
          <w:rFonts w:ascii="Verdana" w:hAnsi="Verdana"/>
          <w:sz w:val="20"/>
          <w:szCs w:val="20"/>
          <w:lang w:eastAsia="it-IT"/>
        </w:rPr>
        <w:t>Disposizioni per la</w:t>
      </w:r>
      <w:r w:rsidR="003B2F63">
        <w:rPr>
          <w:rFonts w:ascii="Verdana" w:hAnsi="Verdana"/>
          <w:sz w:val="20"/>
          <w:szCs w:val="20"/>
          <w:lang w:eastAsia="it-IT"/>
        </w:rPr>
        <w:t xml:space="preserve"> prevenzione e la repressione della corruzione e dell’illegalità nella pubblica </w:t>
      </w:r>
      <w:r w:rsidR="003B2F63" w:rsidRPr="003B2F63">
        <w:rPr>
          <w:rFonts w:ascii="Verdana" w:hAnsi="Verdana"/>
          <w:sz w:val="20"/>
          <w:szCs w:val="20"/>
          <w:lang w:eastAsia="it-IT"/>
        </w:rPr>
        <w:t>amministrazione</w:t>
      </w:r>
      <w:r w:rsidR="003B2F63">
        <w:rPr>
          <w:rFonts w:ascii="Verdana" w:hAnsi="Verdana"/>
          <w:sz w:val="20"/>
          <w:szCs w:val="20"/>
          <w:lang w:eastAsia="it-IT"/>
        </w:rPr>
        <w:t>),</w:t>
      </w:r>
      <w:r w:rsidR="00315E36" w:rsidRPr="009437D7">
        <w:rPr>
          <w:rFonts w:ascii="Verdana" w:hAnsi="Verdana"/>
          <w:sz w:val="20"/>
          <w:szCs w:val="20"/>
          <w:lang w:eastAsia="it-IT"/>
        </w:rPr>
        <w:t xml:space="preserve"> il Dipartimento della Funzione Pubblica ha emanato il Piano Nazionale Anticorruzione (d</w:t>
      </w:r>
      <w:r w:rsidR="002B05BD">
        <w:rPr>
          <w:rFonts w:ascii="Verdana" w:hAnsi="Verdana"/>
          <w:sz w:val="20"/>
          <w:szCs w:val="20"/>
          <w:lang w:eastAsia="it-IT"/>
        </w:rPr>
        <w:t>i seguito anche “PNA”) elaborato</w:t>
      </w:r>
      <w:r w:rsidR="00315E36" w:rsidRPr="009437D7">
        <w:rPr>
          <w:rFonts w:ascii="Verdana" w:hAnsi="Verdana"/>
          <w:sz w:val="20"/>
          <w:szCs w:val="20"/>
          <w:lang w:eastAsia="it-IT"/>
        </w:rPr>
        <w:t xml:space="preserve"> a livello nazionale ed internazionale, al fine di assicurare l’attuazione delle strategie di prevenzione della corruzione nella Pubblica Amministrazione e degli Enti privati e nelle Fondazioni in control</w:t>
      </w:r>
      <w:r w:rsidR="002B05BD">
        <w:rPr>
          <w:rFonts w:ascii="Verdana" w:hAnsi="Verdana"/>
          <w:sz w:val="20"/>
          <w:szCs w:val="20"/>
          <w:lang w:eastAsia="it-IT"/>
        </w:rPr>
        <w:t xml:space="preserve">lo o a partecipazione  pubblica. </w:t>
      </w:r>
      <w:r w:rsidR="00315E36" w:rsidRPr="009437D7">
        <w:rPr>
          <w:rFonts w:ascii="Verdana" w:hAnsi="Verdana" w:cs="Tahoma"/>
          <w:sz w:val="20"/>
          <w:szCs w:val="20"/>
        </w:rPr>
        <w:t>Il PNA prevede che ogni soggetto sopra indicato adotti, tra gli altri adempimenti, una serie di misure obbligatorie  che devono essere recepite e caratterizzate dagli stessi ai diversi contesti attraverso la redazione di un Piano Triennale di Prevenzione della Corruzione</w:t>
      </w:r>
      <w:r w:rsidR="000A1361">
        <w:rPr>
          <w:rFonts w:ascii="Verdana" w:hAnsi="Verdana" w:cs="Tahoma"/>
          <w:sz w:val="20"/>
          <w:szCs w:val="20"/>
        </w:rPr>
        <w:t xml:space="preserve"> e Trasparenza</w:t>
      </w:r>
      <w:r w:rsidR="00315E36" w:rsidRPr="009437D7">
        <w:rPr>
          <w:rFonts w:ascii="Verdana" w:hAnsi="Verdana" w:cs="Tahoma"/>
          <w:sz w:val="20"/>
          <w:szCs w:val="20"/>
        </w:rPr>
        <w:t xml:space="preserve"> (PTPC</w:t>
      </w:r>
      <w:r w:rsidR="000A1361">
        <w:rPr>
          <w:rFonts w:ascii="Verdana" w:hAnsi="Verdana" w:cs="Tahoma"/>
          <w:sz w:val="20"/>
          <w:szCs w:val="20"/>
        </w:rPr>
        <w:t>T</w:t>
      </w:r>
      <w:r w:rsidR="00315E36" w:rsidRPr="009437D7">
        <w:rPr>
          <w:rFonts w:ascii="Verdana" w:hAnsi="Verdana" w:cs="Tahoma"/>
          <w:sz w:val="20"/>
          <w:szCs w:val="20"/>
        </w:rPr>
        <w:t>)</w:t>
      </w:r>
      <w:r w:rsidR="002B05BD">
        <w:rPr>
          <w:rFonts w:ascii="Verdana" w:hAnsi="Verdana" w:cs="Tahoma"/>
          <w:sz w:val="20"/>
          <w:szCs w:val="20"/>
        </w:rPr>
        <w:t>.</w:t>
      </w:r>
    </w:p>
    <w:p w:rsidR="00A05477" w:rsidRPr="009437D7" w:rsidRDefault="0005759E" w:rsidP="00315E36">
      <w:pPr>
        <w:jc w:val="both"/>
        <w:rPr>
          <w:rFonts w:ascii="Verdana" w:hAnsi="Verdana"/>
          <w:sz w:val="20"/>
          <w:szCs w:val="20"/>
          <w:lang w:eastAsia="it-IT"/>
        </w:rPr>
      </w:pPr>
      <w:r w:rsidRPr="009437D7">
        <w:rPr>
          <w:rFonts w:ascii="Verdana" w:hAnsi="Verdana" w:cs="Tahoma"/>
          <w:sz w:val="20"/>
          <w:szCs w:val="20"/>
        </w:rPr>
        <w:t xml:space="preserve">1.2 </w:t>
      </w:r>
      <w:r w:rsidR="00FD7838">
        <w:rPr>
          <w:rFonts w:ascii="Verdana" w:hAnsi="Verdana" w:cs="Tahoma"/>
          <w:sz w:val="20"/>
          <w:szCs w:val="20"/>
        </w:rPr>
        <w:t>L’</w:t>
      </w:r>
      <w:r w:rsidR="000A1361">
        <w:rPr>
          <w:rFonts w:ascii="Verdana" w:hAnsi="Verdana" w:cs="Tahoma"/>
          <w:sz w:val="20"/>
          <w:szCs w:val="20"/>
        </w:rPr>
        <w:t xml:space="preserve">Azienda di Servizi alla Persona Basso Lodigiano  </w:t>
      </w:r>
      <w:r w:rsidR="003E7366" w:rsidRPr="009437D7">
        <w:rPr>
          <w:rFonts w:ascii="Verdana" w:hAnsi="Verdana" w:cs="Tahoma"/>
          <w:sz w:val="20"/>
          <w:szCs w:val="20"/>
        </w:rPr>
        <w:t>di s</w:t>
      </w:r>
      <w:r w:rsidR="000A1361">
        <w:rPr>
          <w:rFonts w:ascii="Verdana" w:hAnsi="Verdana" w:cs="Tahoma"/>
          <w:sz w:val="20"/>
          <w:szCs w:val="20"/>
        </w:rPr>
        <w:t>eguito chiamata anche Azienda</w:t>
      </w:r>
      <w:r w:rsidR="00774151">
        <w:rPr>
          <w:rFonts w:ascii="Verdana" w:hAnsi="Verdana" w:cs="Tahoma"/>
          <w:sz w:val="20"/>
          <w:szCs w:val="20"/>
        </w:rPr>
        <w:t xml:space="preserve"> o </w:t>
      </w:r>
      <w:r w:rsidR="000A1361">
        <w:rPr>
          <w:rFonts w:ascii="Verdana" w:hAnsi="Verdana" w:cs="Tahoma"/>
          <w:sz w:val="20"/>
          <w:szCs w:val="20"/>
        </w:rPr>
        <w:t>ASP</w:t>
      </w:r>
      <w:r w:rsidR="00315E36" w:rsidRPr="009437D7">
        <w:rPr>
          <w:rFonts w:ascii="Verdana" w:hAnsi="Verdana"/>
          <w:sz w:val="20"/>
          <w:szCs w:val="20"/>
          <w:lang w:eastAsia="it-IT"/>
        </w:rPr>
        <w:t>, in quanto ente di</w:t>
      </w:r>
      <w:r w:rsidR="00774151">
        <w:rPr>
          <w:rFonts w:ascii="Verdana" w:hAnsi="Verdana"/>
          <w:sz w:val="20"/>
          <w:szCs w:val="20"/>
          <w:lang w:eastAsia="it-IT"/>
        </w:rPr>
        <w:t xml:space="preserve"> diritto pubblico </w:t>
      </w:r>
      <w:r w:rsidR="007E2634">
        <w:rPr>
          <w:rFonts w:ascii="Verdana" w:hAnsi="Verdana" w:cs="Tahoma"/>
          <w:sz w:val="20"/>
          <w:szCs w:val="20"/>
        </w:rPr>
        <w:t xml:space="preserve">ha predisposto, aggiornato </w:t>
      </w:r>
      <w:r w:rsidR="003E7366" w:rsidRPr="009437D7">
        <w:rPr>
          <w:rFonts w:ascii="Verdana" w:hAnsi="Verdana" w:cs="Tahoma"/>
          <w:sz w:val="20"/>
          <w:szCs w:val="20"/>
        </w:rPr>
        <w:t>e</w:t>
      </w:r>
      <w:r w:rsidR="002B05BD">
        <w:rPr>
          <w:rFonts w:ascii="Verdana" w:hAnsi="Verdana" w:cs="Tahoma"/>
          <w:sz w:val="20"/>
          <w:szCs w:val="20"/>
        </w:rPr>
        <w:t>d</w:t>
      </w:r>
      <w:r w:rsidR="003E7366" w:rsidRPr="009437D7">
        <w:rPr>
          <w:rFonts w:ascii="Verdana" w:hAnsi="Verdana" w:cs="Tahoma"/>
          <w:sz w:val="20"/>
          <w:szCs w:val="20"/>
        </w:rPr>
        <w:t xml:space="preserve"> approvato</w:t>
      </w:r>
      <w:r w:rsidR="002B05BD">
        <w:rPr>
          <w:rFonts w:ascii="Verdana" w:hAnsi="Verdana" w:cs="Tahoma"/>
          <w:sz w:val="20"/>
          <w:szCs w:val="20"/>
        </w:rPr>
        <w:t>, in ottemperanza alla L.</w:t>
      </w:r>
      <w:r w:rsidR="003E7366" w:rsidRPr="009437D7">
        <w:rPr>
          <w:rFonts w:ascii="Verdana" w:hAnsi="Verdana" w:cs="Tahoma"/>
          <w:sz w:val="20"/>
          <w:szCs w:val="20"/>
        </w:rPr>
        <w:t>190/2012 un proprio Piano Triennale di Prevenzione della Corruzione</w:t>
      </w:r>
      <w:r w:rsidR="00774151">
        <w:rPr>
          <w:rFonts w:ascii="Verdana" w:hAnsi="Verdana" w:cs="Tahoma"/>
          <w:sz w:val="20"/>
          <w:szCs w:val="20"/>
        </w:rPr>
        <w:t xml:space="preserve"> e Trasparenza</w:t>
      </w:r>
      <w:r w:rsidR="003E7366" w:rsidRPr="009437D7">
        <w:rPr>
          <w:rFonts w:ascii="Verdana" w:hAnsi="Verdana" w:cs="Tahoma"/>
          <w:sz w:val="20"/>
          <w:szCs w:val="20"/>
        </w:rPr>
        <w:t xml:space="preserve"> </w:t>
      </w:r>
      <w:r w:rsidR="003E7366" w:rsidRPr="009437D7">
        <w:rPr>
          <w:rFonts w:ascii="Verdana" w:hAnsi="Verdana"/>
          <w:sz w:val="20"/>
          <w:szCs w:val="20"/>
          <w:lang w:eastAsia="it-IT"/>
        </w:rPr>
        <w:t xml:space="preserve">che  definisce le misure attuate dalla </w:t>
      </w:r>
      <w:r w:rsidR="000A1361">
        <w:rPr>
          <w:rFonts w:ascii="Verdana" w:hAnsi="Verdana"/>
          <w:sz w:val="20"/>
          <w:szCs w:val="20"/>
          <w:lang w:eastAsia="it-IT"/>
        </w:rPr>
        <w:t xml:space="preserve">AZIENDA </w:t>
      </w:r>
      <w:r w:rsidR="00774151">
        <w:rPr>
          <w:rFonts w:ascii="Verdana" w:hAnsi="Verdana"/>
          <w:sz w:val="20"/>
          <w:szCs w:val="20"/>
          <w:lang w:eastAsia="it-IT"/>
        </w:rPr>
        <w:t xml:space="preserve"> </w:t>
      </w:r>
      <w:r w:rsidR="003E7366" w:rsidRPr="009437D7">
        <w:rPr>
          <w:rFonts w:ascii="Verdana" w:hAnsi="Verdana"/>
          <w:sz w:val="20"/>
          <w:szCs w:val="20"/>
          <w:lang w:eastAsia="it-IT"/>
        </w:rPr>
        <w:t xml:space="preserve"> al fine di prevenire il rischio legato ai reati di corruzione in stretta correlazione con i documenti di attuazione del D.Lgs. n.231/2001, fermo quanto previsto dal Piano Nazionale di Prevenzi</w:t>
      </w:r>
      <w:r w:rsidR="00315E36" w:rsidRPr="009437D7">
        <w:rPr>
          <w:rFonts w:ascii="Verdana" w:hAnsi="Verdana"/>
          <w:sz w:val="20"/>
          <w:szCs w:val="20"/>
          <w:lang w:eastAsia="it-IT"/>
        </w:rPr>
        <w:t>one della Corruzione (PNA).</w:t>
      </w:r>
    </w:p>
    <w:p w:rsidR="00315E36" w:rsidRPr="009437D7" w:rsidRDefault="001D0BC7" w:rsidP="00315E36">
      <w:pPr>
        <w:jc w:val="both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 xml:space="preserve">Il Piano Triennale di Prevenzione delle </w:t>
      </w:r>
      <w:r w:rsidR="009D1395">
        <w:rPr>
          <w:rFonts w:ascii="Verdana" w:hAnsi="Verdana"/>
          <w:sz w:val="20"/>
          <w:szCs w:val="20"/>
          <w:lang w:eastAsia="it-IT"/>
        </w:rPr>
        <w:t>Corruzione</w:t>
      </w:r>
      <w:r w:rsidR="00774151">
        <w:rPr>
          <w:rFonts w:ascii="Verdana" w:hAnsi="Verdana"/>
          <w:sz w:val="20"/>
          <w:szCs w:val="20"/>
          <w:lang w:eastAsia="it-IT"/>
        </w:rPr>
        <w:t xml:space="preserve"> Trasparenza</w:t>
      </w:r>
      <w:r w:rsidR="00EB1A1F">
        <w:rPr>
          <w:rFonts w:ascii="Verdana" w:hAnsi="Verdana"/>
          <w:sz w:val="20"/>
          <w:szCs w:val="20"/>
          <w:lang w:eastAsia="it-IT"/>
        </w:rPr>
        <w:t xml:space="preserve"> approvato</w:t>
      </w:r>
      <w:r>
        <w:rPr>
          <w:rFonts w:ascii="Verdana" w:hAnsi="Verdana"/>
          <w:sz w:val="20"/>
          <w:szCs w:val="20"/>
          <w:lang w:eastAsia="it-IT"/>
        </w:rPr>
        <w:t xml:space="preserve"> prevede l'obbligo a tutto il personale di prendere visione e </w:t>
      </w:r>
      <w:r w:rsidR="00DB4AAD" w:rsidRPr="009437D7">
        <w:rPr>
          <w:rFonts w:ascii="Verdana" w:hAnsi="Verdana"/>
          <w:sz w:val="20"/>
          <w:szCs w:val="20"/>
          <w:lang w:eastAsia="it-IT"/>
        </w:rPr>
        <w:t>sot</w:t>
      </w:r>
      <w:r w:rsidR="00774151">
        <w:rPr>
          <w:rFonts w:ascii="Verdana" w:hAnsi="Verdana"/>
          <w:sz w:val="20"/>
          <w:szCs w:val="20"/>
          <w:lang w:eastAsia="it-IT"/>
        </w:rPr>
        <w:t>tostare alle</w:t>
      </w:r>
      <w:r w:rsidR="00DB4AAD" w:rsidRPr="009437D7">
        <w:rPr>
          <w:rFonts w:ascii="Verdana" w:hAnsi="Verdana"/>
          <w:sz w:val="20"/>
          <w:szCs w:val="20"/>
          <w:lang w:eastAsia="it-IT"/>
        </w:rPr>
        <w:t xml:space="preserve">  </w:t>
      </w:r>
      <w:r w:rsidR="002B05BD">
        <w:rPr>
          <w:rFonts w:ascii="Verdana" w:hAnsi="Verdana"/>
          <w:sz w:val="20"/>
          <w:szCs w:val="20"/>
          <w:lang w:eastAsia="it-IT"/>
        </w:rPr>
        <w:t>disposizioni nel seguito riportate.</w:t>
      </w:r>
    </w:p>
    <w:p w:rsidR="00DB4AAD" w:rsidRPr="009437D7" w:rsidRDefault="0005759E" w:rsidP="00315E36">
      <w:pPr>
        <w:jc w:val="both"/>
        <w:rPr>
          <w:rFonts w:ascii="Verdana" w:hAnsi="Verdana"/>
          <w:b/>
          <w:sz w:val="20"/>
          <w:szCs w:val="20"/>
        </w:rPr>
      </w:pPr>
      <w:r w:rsidRPr="009437D7">
        <w:rPr>
          <w:rFonts w:ascii="Verdana" w:hAnsi="Verdana"/>
          <w:b/>
          <w:sz w:val="20"/>
          <w:szCs w:val="20"/>
        </w:rPr>
        <w:t>2.</w:t>
      </w:r>
      <w:r w:rsidR="00DB4AAD" w:rsidRPr="009437D7">
        <w:rPr>
          <w:rFonts w:ascii="Verdana" w:hAnsi="Verdana"/>
          <w:b/>
          <w:sz w:val="20"/>
          <w:szCs w:val="20"/>
        </w:rPr>
        <w:t xml:space="preserve">OBBLIGO </w:t>
      </w:r>
      <w:r w:rsidR="001D0BC7">
        <w:rPr>
          <w:rFonts w:ascii="Verdana" w:hAnsi="Verdana"/>
          <w:b/>
          <w:sz w:val="20"/>
          <w:szCs w:val="20"/>
        </w:rPr>
        <w:t xml:space="preserve">DI </w:t>
      </w:r>
      <w:r w:rsidR="00DB4AAD" w:rsidRPr="009437D7">
        <w:rPr>
          <w:rFonts w:ascii="Verdana" w:hAnsi="Verdana"/>
          <w:b/>
          <w:sz w:val="20"/>
          <w:szCs w:val="20"/>
        </w:rPr>
        <w:t xml:space="preserve">ADESIONE AL  CODICE ETICO- COMPORTAMENTALE DI </w:t>
      </w:r>
      <w:r w:rsidR="00774151">
        <w:rPr>
          <w:rFonts w:ascii="Verdana" w:hAnsi="Verdana"/>
          <w:b/>
          <w:sz w:val="20"/>
          <w:szCs w:val="20"/>
        </w:rPr>
        <w:t>AFOL SUD MILANO</w:t>
      </w:r>
    </w:p>
    <w:p w:rsidR="00DB4AAD" w:rsidRPr="009437D7" w:rsidRDefault="0005759E" w:rsidP="00315E36">
      <w:pPr>
        <w:jc w:val="both"/>
        <w:rPr>
          <w:rFonts w:ascii="Verdana" w:hAnsi="Verdana"/>
          <w:sz w:val="20"/>
          <w:szCs w:val="20"/>
          <w:lang w:eastAsia="it-IT"/>
        </w:rPr>
      </w:pPr>
      <w:r w:rsidRPr="009437D7">
        <w:rPr>
          <w:rFonts w:ascii="Verdana" w:hAnsi="Verdana"/>
          <w:sz w:val="20"/>
          <w:szCs w:val="20"/>
          <w:lang w:eastAsia="it-IT"/>
        </w:rPr>
        <w:t>2.1</w:t>
      </w:r>
      <w:r w:rsidR="00A05477" w:rsidRPr="009437D7">
        <w:rPr>
          <w:rFonts w:ascii="Verdana" w:hAnsi="Verdana"/>
          <w:sz w:val="20"/>
          <w:szCs w:val="20"/>
          <w:lang w:eastAsia="it-IT"/>
        </w:rPr>
        <w:t xml:space="preserve"> </w:t>
      </w:r>
      <w:r w:rsidR="000A1361">
        <w:rPr>
          <w:rFonts w:ascii="Verdana" w:hAnsi="Verdana"/>
          <w:sz w:val="20"/>
          <w:szCs w:val="20"/>
          <w:lang w:eastAsia="it-IT"/>
        </w:rPr>
        <w:t xml:space="preserve">ASP </w:t>
      </w:r>
      <w:r w:rsidR="00DB4AAD" w:rsidRPr="009437D7">
        <w:rPr>
          <w:rFonts w:ascii="Verdana" w:hAnsi="Verdana"/>
          <w:sz w:val="20"/>
          <w:szCs w:val="20"/>
          <w:lang w:eastAsia="it-IT"/>
        </w:rPr>
        <w:t>ha adottato il propri</w:t>
      </w:r>
      <w:r w:rsidR="002B05BD">
        <w:rPr>
          <w:rFonts w:ascii="Verdana" w:hAnsi="Verdana"/>
          <w:sz w:val="20"/>
          <w:szCs w:val="20"/>
          <w:lang w:eastAsia="it-IT"/>
        </w:rPr>
        <w:t>o  CODICE ETICO-COMPORTAMENTALE</w:t>
      </w:r>
      <w:r w:rsidR="00DB4AAD" w:rsidRPr="009437D7">
        <w:rPr>
          <w:rFonts w:ascii="Verdana" w:hAnsi="Verdana"/>
          <w:sz w:val="20"/>
          <w:szCs w:val="20"/>
          <w:lang w:eastAsia="it-IT"/>
        </w:rPr>
        <w:t>, di seguito anche denominato "Codice", che si propone di confermare e fissare in un documento unitario i principi di diligenza, correttezza, lealtà, integrità e trasparenza dei comportamenti che devono animare chi op</w:t>
      </w:r>
      <w:r w:rsidR="002B05BD">
        <w:rPr>
          <w:rFonts w:ascii="Verdana" w:hAnsi="Verdana"/>
          <w:sz w:val="20"/>
          <w:szCs w:val="20"/>
          <w:lang w:eastAsia="it-IT"/>
        </w:rPr>
        <w:t xml:space="preserve">era all’interno della </w:t>
      </w:r>
      <w:r w:rsidR="000A1361">
        <w:rPr>
          <w:rFonts w:ascii="Verdana" w:hAnsi="Verdana"/>
          <w:sz w:val="20"/>
          <w:szCs w:val="20"/>
          <w:lang w:eastAsia="it-IT"/>
        </w:rPr>
        <w:t xml:space="preserve">AZIENDA </w:t>
      </w:r>
      <w:r w:rsidR="00774151">
        <w:rPr>
          <w:rFonts w:ascii="Verdana" w:hAnsi="Verdana"/>
          <w:sz w:val="20"/>
          <w:szCs w:val="20"/>
          <w:lang w:eastAsia="it-IT"/>
        </w:rPr>
        <w:t xml:space="preserve"> </w:t>
      </w:r>
      <w:r w:rsidR="00DB4AAD" w:rsidRPr="009437D7">
        <w:rPr>
          <w:rFonts w:ascii="Verdana" w:hAnsi="Verdana"/>
          <w:sz w:val="20"/>
          <w:szCs w:val="20"/>
          <w:lang w:eastAsia="it-IT"/>
        </w:rPr>
        <w:t>. Ciò anche al fine di assicurare la qualità dei servizi in adempimento al disposto del Modello Organizzativo ex D.lgs. 231/</w:t>
      </w:r>
      <w:r w:rsidR="00857ACE">
        <w:rPr>
          <w:rFonts w:ascii="Verdana" w:hAnsi="Verdana"/>
          <w:sz w:val="20"/>
          <w:szCs w:val="20"/>
          <w:lang w:eastAsia="it-IT"/>
        </w:rPr>
        <w:t>20</w:t>
      </w:r>
      <w:r w:rsidR="00DB4AAD" w:rsidRPr="009437D7">
        <w:rPr>
          <w:rFonts w:ascii="Verdana" w:hAnsi="Verdana"/>
          <w:sz w:val="20"/>
          <w:szCs w:val="20"/>
          <w:lang w:eastAsia="it-IT"/>
        </w:rPr>
        <w:t xml:space="preserve">01 e al </w:t>
      </w:r>
      <w:r w:rsidR="002B05BD">
        <w:rPr>
          <w:rFonts w:ascii="Verdana" w:hAnsi="Verdana"/>
          <w:sz w:val="20"/>
          <w:szCs w:val="20"/>
          <w:lang w:eastAsia="it-IT"/>
        </w:rPr>
        <w:t xml:space="preserve">Piano Triennale di Prevenzione della Corruzione </w:t>
      </w:r>
      <w:r w:rsidR="00DB4AAD" w:rsidRPr="009437D7">
        <w:rPr>
          <w:rFonts w:ascii="Verdana" w:hAnsi="Verdana"/>
          <w:sz w:val="20"/>
          <w:szCs w:val="20"/>
          <w:lang w:eastAsia="it-IT"/>
        </w:rPr>
        <w:t xml:space="preserve">della </w:t>
      </w:r>
      <w:r w:rsidR="000A1361">
        <w:rPr>
          <w:rFonts w:ascii="Verdana" w:hAnsi="Verdana"/>
          <w:sz w:val="20"/>
          <w:szCs w:val="20"/>
          <w:lang w:eastAsia="it-IT"/>
        </w:rPr>
        <w:t xml:space="preserve">AZIENDA </w:t>
      </w:r>
      <w:r w:rsidR="00774151">
        <w:rPr>
          <w:rFonts w:ascii="Verdana" w:hAnsi="Verdana"/>
          <w:sz w:val="20"/>
          <w:szCs w:val="20"/>
          <w:lang w:eastAsia="it-IT"/>
        </w:rPr>
        <w:t xml:space="preserve"> </w:t>
      </w:r>
      <w:r w:rsidR="00DB4AAD" w:rsidRPr="009437D7">
        <w:rPr>
          <w:rFonts w:ascii="Verdana" w:hAnsi="Verdana"/>
          <w:sz w:val="20"/>
          <w:szCs w:val="20"/>
          <w:lang w:eastAsia="it-IT"/>
        </w:rPr>
        <w:t>.</w:t>
      </w:r>
      <w:r w:rsidR="00FF4E20" w:rsidRPr="009437D7">
        <w:rPr>
          <w:rFonts w:ascii="Verdana" w:hAnsi="Verdana"/>
          <w:sz w:val="20"/>
          <w:szCs w:val="20"/>
          <w:lang w:eastAsia="it-IT"/>
        </w:rPr>
        <w:t xml:space="preserve"> </w:t>
      </w:r>
      <w:r w:rsidR="00DB4AAD" w:rsidRPr="009437D7">
        <w:rPr>
          <w:rFonts w:ascii="Verdana" w:hAnsi="Verdana"/>
          <w:sz w:val="20"/>
          <w:szCs w:val="20"/>
          <w:lang w:eastAsia="it-IT"/>
        </w:rPr>
        <w:t>Il CODICE ETICO-COMPORTAMENTALE  è visionabile  da tutti attraverso il sito web istitu</w:t>
      </w:r>
      <w:r w:rsidR="002B05BD">
        <w:rPr>
          <w:rFonts w:ascii="Verdana" w:hAnsi="Verdana"/>
          <w:sz w:val="20"/>
          <w:szCs w:val="20"/>
          <w:lang w:eastAsia="it-IT"/>
        </w:rPr>
        <w:t xml:space="preserve">zionale </w:t>
      </w:r>
      <w:r w:rsidR="00877E6F">
        <w:rPr>
          <w:rFonts w:ascii="Verdana" w:hAnsi="Verdana"/>
          <w:sz w:val="20"/>
          <w:szCs w:val="20"/>
          <w:lang w:eastAsia="it-IT"/>
        </w:rPr>
        <w:t>nella sezione</w:t>
      </w:r>
      <w:r w:rsidR="002B05BD">
        <w:rPr>
          <w:rFonts w:ascii="Verdana" w:hAnsi="Verdana"/>
          <w:sz w:val="20"/>
          <w:szCs w:val="20"/>
          <w:lang w:eastAsia="it-IT"/>
        </w:rPr>
        <w:t>:</w:t>
      </w:r>
      <w:r w:rsidR="00877E6F">
        <w:rPr>
          <w:rFonts w:ascii="Verdana" w:hAnsi="Verdana"/>
          <w:sz w:val="20"/>
          <w:szCs w:val="20"/>
          <w:lang w:eastAsia="it-IT"/>
        </w:rPr>
        <w:t xml:space="preserve"> "AMMINISTRAZIONE TRASPARENTE"</w:t>
      </w:r>
      <w:r w:rsidR="002B05BD">
        <w:rPr>
          <w:rFonts w:ascii="Verdana" w:hAnsi="Verdana"/>
          <w:sz w:val="20"/>
          <w:szCs w:val="20"/>
          <w:lang w:eastAsia="it-IT"/>
        </w:rPr>
        <w:t xml:space="preserve"> </w:t>
      </w:r>
      <w:r w:rsidR="00877E6F">
        <w:rPr>
          <w:rFonts w:ascii="Verdana" w:hAnsi="Verdana"/>
          <w:sz w:val="20"/>
          <w:szCs w:val="20"/>
          <w:lang w:eastAsia="it-IT"/>
        </w:rPr>
        <w:t>- cartella:</w:t>
      </w:r>
      <w:r w:rsidR="002B05BD">
        <w:rPr>
          <w:rFonts w:ascii="Verdana" w:hAnsi="Verdana"/>
          <w:sz w:val="20"/>
          <w:szCs w:val="20"/>
          <w:lang w:eastAsia="it-IT"/>
        </w:rPr>
        <w:t xml:space="preserve"> </w:t>
      </w:r>
      <w:r w:rsidR="00877E6F">
        <w:rPr>
          <w:rFonts w:ascii="Verdana" w:hAnsi="Verdana"/>
          <w:sz w:val="20"/>
          <w:szCs w:val="20"/>
          <w:lang w:eastAsia="it-IT"/>
        </w:rPr>
        <w:t>DISPOSIZIONI GENERALI</w:t>
      </w:r>
      <w:r w:rsidR="002B05BD">
        <w:rPr>
          <w:rFonts w:ascii="Verdana" w:hAnsi="Verdana"/>
          <w:sz w:val="20"/>
          <w:szCs w:val="20"/>
          <w:lang w:eastAsia="it-IT"/>
        </w:rPr>
        <w:t xml:space="preserve"> -</w:t>
      </w:r>
      <w:r w:rsidR="00877E6F">
        <w:rPr>
          <w:rFonts w:ascii="Verdana" w:hAnsi="Verdana"/>
          <w:sz w:val="20"/>
          <w:szCs w:val="20"/>
          <w:lang w:eastAsia="it-IT"/>
        </w:rPr>
        <w:t xml:space="preserve"> sottocartella:</w:t>
      </w:r>
      <w:r w:rsidR="002B05BD">
        <w:rPr>
          <w:rFonts w:ascii="Verdana" w:hAnsi="Verdana"/>
          <w:sz w:val="20"/>
          <w:szCs w:val="20"/>
          <w:lang w:eastAsia="it-IT"/>
        </w:rPr>
        <w:t xml:space="preserve"> </w:t>
      </w:r>
      <w:r w:rsidR="00877E6F" w:rsidRPr="00877E6F">
        <w:rPr>
          <w:rFonts w:ascii="Verdana" w:hAnsi="Verdana"/>
          <w:sz w:val="20"/>
          <w:szCs w:val="20"/>
          <w:lang w:eastAsia="it-IT"/>
        </w:rPr>
        <w:t>ATTI GENERALI</w:t>
      </w:r>
      <w:r w:rsidR="00877E6F">
        <w:rPr>
          <w:rFonts w:ascii="Verdana" w:hAnsi="Verdana"/>
          <w:sz w:val="20"/>
          <w:szCs w:val="20"/>
          <w:lang w:eastAsia="it-IT"/>
        </w:rPr>
        <w:t>.</w:t>
      </w:r>
    </w:p>
    <w:p w:rsidR="00636543" w:rsidRPr="009437D7" w:rsidRDefault="0005759E" w:rsidP="00877E6F">
      <w:pPr>
        <w:jc w:val="both"/>
        <w:rPr>
          <w:rFonts w:ascii="Verdana" w:hAnsi="Verdana"/>
          <w:sz w:val="20"/>
          <w:szCs w:val="20"/>
          <w:lang w:eastAsia="it-IT"/>
        </w:rPr>
      </w:pPr>
      <w:r w:rsidRPr="00774151">
        <w:rPr>
          <w:rFonts w:ascii="Verdana" w:hAnsi="Verdana"/>
          <w:sz w:val="20"/>
          <w:szCs w:val="20"/>
          <w:lang w:eastAsia="it-IT"/>
        </w:rPr>
        <w:t>2.2</w:t>
      </w:r>
      <w:r w:rsidR="00A05477" w:rsidRPr="00774151">
        <w:rPr>
          <w:rFonts w:ascii="Verdana" w:hAnsi="Verdana"/>
          <w:sz w:val="20"/>
          <w:szCs w:val="20"/>
          <w:lang w:eastAsia="it-IT"/>
        </w:rPr>
        <w:t xml:space="preserve"> </w:t>
      </w:r>
      <w:r w:rsidR="00DB4AAD" w:rsidRPr="00774151">
        <w:rPr>
          <w:rFonts w:ascii="Verdana" w:hAnsi="Verdana"/>
          <w:sz w:val="20"/>
          <w:szCs w:val="20"/>
          <w:lang w:eastAsia="it-IT"/>
        </w:rPr>
        <w:t>Il "Codice" recepisce le disposizioni previste sia dal Modello Organizzativo ex D</w:t>
      </w:r>
      <w:r w:rsidR="002B05BD" w:rsidRPr="00774151">
        <w:rPr>
          <w:rFonts w:ascii="Verdana" w:hAnsi="Verdana"/>
          <w:sz w:val="20"/>
          <w:szCs w:val="20"/>
          <w:lang w:eastAsia="it-IT"/>
        </w:rPr>
        <w:t xml:space="preserve">.lgs 231/01, </w:t>
      </w:r>
      <w:r w:rsidR="007E2634" w:rsidRPr="00774151">
        <w:rPr>
          <w:rFonts w:ascii="Verdana" w:hAnsi="Verdana"/>
          <w:sz w:val="20"/>
          <w:szCs w:val="20"/>
          <w:lang w:eastAsia="it-IT"/>
        </w:rPr>
        <w:t>sia</w:t>
      </w:r>
      <w:r w:rsidR="00DB4AAD" w:rsidRPr="00774151">
        <w:rPr>
          <w:rFonts w:ascii="Verdana" w:hAnsi="Verdana"/>
          <w:sz w:val="20"/>
          <w:szCs w:val="20"/>
          <w:lang w:eastAsia="it-IT"/>
        </w:rPr>
        <w:t xml:space="preserve"> le misure obbligatorie </w:t>
      </w:r>
      <w:r w:rsidR="00636543" w:rsidRPr="00774151">
        <w:rPr>
          <w:rFonts w:ascii="Verdana" w:hAnsi="Verdana"/>
          <w:sz w:val="20"/>
          <w:szCs w:val="20"/>
          <w:lang w:eastAsia="it-IT"/>
        </w:rPr>
        <w:t>e</w:t>
      </w:r>
      <w:r w:rsidR="002B05BD" w:rsidRPr="00774151">
        <w:rPr>
          <w:rFonts w:ascii="Verdana" w:hAnsi="Verdana"/>
          <w:sz w:val="20"/>
          <w:szCs w:val="20"/>
          <w:lang w:eastAsia="it-IT"/>
        </w:rPr>
        <w:t>d</w:t>
      </w:r>
      <w:r w:rsidR="00636543" w:rsidRPr="00774151">
        <w:rPr>
          <w:rFonts w:ascii="Verdana" w:hAnsi="Verdana"/>
          <w:sz w:val="20"/>
          <w:szCs w:val="20"/>
          <w:lang w:eastAsia="it-IT"/>
        </w:rPr>
        <w:t xml:space="preserve"> ulteriori di condotta previste</w:t>
      </w:r>
      <w:r w:rsidR="007E2634" w:rsidRPr="00774151">
        <w:rPr>
          <w:rFonts w:ascii="Verdana" w:hAnsi="Verdana"/>
          <w:sz w:val="20"/>
          <w:szCs w:val="20"/>
          <w:lang w:eastAsia="it-IT"/>
        </w:rPr>
        <w:t xml:space="preserve"> </w:t>
      </w:r>
      <w:r w:rsidR="00DB4AAD" w:rsidRPr="00774151">
        <w:rPr>
          <w:rFonts w:ascii="Verdana" w:hAnsi="Verdana"/>
          <w:sz w:val="20"/>
          <w:szCs w:val="20"/>
          <w:lang w:eastAsia="it-IT"/>
        </w:rPr>
        <w:t xml:space="preserve">nel </w:t>
      </w:r>
      <w:r w:rsidR="00373248" w:rsidRPr="00774151">
        <w:rPr>
          <w:rFonts w:ascii="Verdana" w:hAnsi="Verdana"/>
          <w:b/>
          <w:sz w:val="20"/>
          <w:szCs w:val="20"/>
          <w:lang w:eastAsia="it-IT"/>
        </w:rPr>
        <w:t>PIANO TRIENNALE DI PREVENZIONE DELLA CORRUZIONE</w:t>
      </w:r>
      <w:r w:rsidR="00774151" w:rsidRPr="00774151">
        <w:rPr>
          <w:rFonts w:ascii="Verdana" w:hAnsi="Verdana"/>
          <w:b/>
          <w:sz w:val="20"/>
          <w:szCs w:val="20"/>
          <w:lang w:eastAsia="it-IT"/>
        </w:rPr>
        <w:t xml:space="preserve"> e TRASPARENZA</w:t>
      </w:r>
      <w:r w:rsidR="002B05BD" w:rsidRPr="00774151">
        <w:rPr>
          <w:rFonts w:ascii="Verdana" w:hAnsi="Verdana"/>
          <w:sz w:val="20"/>
          <w:szCs w:val="20"/>
          <w:lang w:eastAsia="it-IT"/>
        </w:rPr>
        <w:t xml:space="preserve">, </w:t>
      </w:r>
      <w:r w:rsidR="00DB4AAD" w:rsidRPr="00774151">
        <w:rPr>
          <w:rFonts w:ascii="Verdana" w:hAnsi="Verdana"/>
          <w:sz w:val="20"/>
          <w:szCs w:val="20"/>
          <w:lang w:eastAsia="it-IT"/>
        </w:rPr>
        <w:t>anch'esso consultabil</w:t>
      </w:r>
      <w:r w:rsidR="002B05BD" w:rsidRPr="00774151">
        <w:rPr>
          <w:rFonts w:ascii="Verdana" w:hAnsi="Verdana"/>
          <w:sz w:val="20"/>
          <w:szCs w:val="20"/>
          <w:lang w:eastAsia="it-IT"/>
        </w:rPr>
        <w:t xml:space="preserve">e </w:t>
      </w:r>
      <w:r w:rsidR="00373248" w:rsidRPr="00774151">
        <w:rPr>
          <w:rFonts w:ascii="Verdana" w:hAnsi="Verdana"/>
          <w:sz w:val="20"/>
          <w:szCs w:val="20"/>
          <w:lang w:eastAsia="it-IT"/>
        </w:rPr>
        <w:t>nella sezione del sito web istituzionale: "AMMINISTRAZIONE TRASPARENTE" - cartella: ALTRI CONTENUTI - sottocartella: CORRUZIONE.</w:t>
      </w:r>
    </w:p>
    <w:p w:rsidR="00636543" w:rsidRPr="009437D7" w:rsidRDefault="00A05477" w:rsidP="00315E36">
      <w:pPr>
        <w:jc w:val="both"/>
        <w:rPr>
          <w:rFonts w:ascii="Verdana" w:hAnsi="Verdana"/>
          <w:sz w:val="20"/>
          <w:szCs w:val="20"/>
          <w:lang w:eastAsia="it-IT"/>
        </w:rPr>
      </w:pPr>
      <w:r w:rsidRPr="009437D7">
        <w:rPr>
          <w:rFonts w:ascii="Verdana" w:hAnsi="Verdana"/>
          <w:sz w:val="20"/>
          <w:szCs w:val="20"/>
          <w:lang w:eastAsia="it-IT"/>
        </w:rPr>
        <w:t xml:space="preserve">2.3 </w:t>
      </w:r>
      <w:r w:rsidR="00636543" w:rsidRPr="009437D7">
        <w:rPr>
          <w:rFonts w:ascii="Verdana" w:hAnsi="Verdana"/>
          <w:sz w:val="20"/>
          <w:szCs w:val="20"/>
          <w:lang w:eastAsia="it-IT"/>
        </w:rPr>
        <w:t xml:space="preserve">Per tutto il personale operante in </w:t>
      </w:r>
      <w:r w:rsidR="000A1361">
        <w:rPr>
          <w:rFonts w:ascii="Verdana" w:hAnsi="Verdana"/>
          <w:sz w:val="20"/>
          <w:szCs w:val="20"/>
          <w:lang w:eastAsia="it-IT"/>
        </w:rPr>
        <w:t xml:space="preserve">ASP </w:t>
      </w:r>
      <w:r w:rsidR="00636543" w:rsidRPr="009437D7">
        <w:rPr>
          <w:rFonts w:ascii="Verdana" w:hAnsi="Verdana"/>
          <w:sz w:val="20"/>
          <w:szCs w:val="20"/>
          <w:lang w:eastAsia="it-IT"/>
        </w:rPr>
        <w:t>è fatto obbligo di sottostare a t</w:t>
      </w:r>
      <w:r w:rsidR="002B05BD">
        <w:rPr>
          <w:rFonts w:ascii="Verdana" w:hAnsi="Verdana"/>
          <w:sz w:val="20"/>
          <w:szCs w:val="20"/>
          <w:lang w:eastAsia="it-IT"/>
        </w:rPr>
        <w:t>utte le disposizioni del Codice</w:t>
      </w:r>
      <w:r w:rsidR="00636543" w:rsidRPr="009437D7">
        <w:rPr>
          <w:rFonts w:ascii="Verdana" w:hAnsi="Verdana"/>
          <w:sz w:val="20"/>
          <w:szCs w:val="20"/>
          <w:lang w:eastAsia="it-IT"/>
        </w:rPr>
        <w:t xml:space="preserve"> e</w:t>
      </w:r>
      <w:r w:rsidR="002B05BD">
        <w:rPr>
          <w:rFonts w:ascii="Verdana" w:hAnsi="Verdana"/>
          <w:sz w:val="20"/>
          <w:szCs w:val="20"/>
          <w:lang w:eastAsia="it-IT"/>
        </w:rPr>
        <w:t>,</w:t>
      </w:r>
      <w:r w:rsidR="00636543" w:rsidRPr="009437D7">
        <w:rPr>
          <w:rFonts w:ascii="Verdana" w:hAnsi="Verdana"/>
          <w:sz w:val="20"/>
          <w:szCs w:val="20"/>
          <w:lang w:eastAsia="it-IT"/>
        </w:rPr>
        <w:t xml:space="preserve"> sottoscrivendo il presente documento</w:t>
      </w:r>
      <w:r w:rsidR="002B05BD">
        <w:rPr>
          <w:rFonts w:ascii="Verdana" w:hAnsi="Verdana"/>
          <w:sz w:val="20"/>
          <w:szCs w:val="20"/>
          <w:lang w:eastAsia="it-IT"/>
        </w:rPr>
        <w:t>,</w:t>
      </w:r>
      <w:r w:rsidR="00636543" w:rsidRPr="009437D7">
        <w:rPr>
          <w:rFonts w:ascii="Verdana" w:hAnsi="Verdana"/>
          <w:sz w:val="20"/>
          <w:szCs w:val="20"/>
          <w:lang w:eastAsia="it-IT"/>
        </w:rPr>
        <w:t xml:space="preserve"> dichiara</w:t>
      </w:r>
      <w:r w:rsidR="002B05BD">
        <w:rPr>
          <w:rFonts w:ascii="Verdana" w:hAnsi="Verdana"/>
          <w:sz w:val="20"/>
          <w:szCs w:val="20"/>
          <w:lang w:eastAsia="it-IT"/>
        </w:rPr>
        <w:t>re</w:t>
      </w:r>
      <w:r w:rsidR="00636543" w:rsidRPr="009437D7">
        <w:rPr>
          <w:rFonts w:ascii="Verdana" w:hAnsi="Verdana"/>
          <w:sz w:val="20"/>
          <w:szCs w:val="20"/>
          <w:lang w:eastAsia="it-IT"/>
        </w:rPr>
        <w:t xml:space="preserve"> di averlo visionato e di averne inteso i contenuti.</w:t>
      </w:r>
    </w:p>
    <w:p w:rsidR="00877E6F" w:rsidRPr="009437D7" w:rsidRDefault="00A05477" w:rsidP="00877E6F">
      <w:pPr>
        <w:jc w:val="both"/>
        <w:rPr>
          <w:rFonts w:ascii="Verdana" w:hAnsi="Verdana"/>
          <w:sz w:val="20"/>
          <w:szCs w:val="20"/>
          <w:lang w:eastAsia="it-IT"/>
        </w:rPr>
      </w:pPr>
      <w:r w:rsidRPr="009437D7">
        <w:rPr>
          <w:rFonts w:ascii="Verdana" w:hAnsi="Verdana"/>
          <w:sz w:val="20"/>
          <w:szCs w:val="20"/>
          <w:lang w:eastAsia="it-IT"/>
        </w:rPr>
        <w:t xml:space="preserve">2.4 </w:t>
      </w:r>
      <w:r w:rsidR="00636543" w:rsidRPr="009437D7">
        <w:rPr>
          <w:rFonts w:ascii="Verdana" w:hAnsi="Verdana"/>
          <w:sz w:val="20"/>
          <w:szCs w:val="20"/>
          <w:lang w:eastAsia="it-IT"/>
        </w:rPr>
        <w:t>Secondo quanto previsto nel Codic</w:t>
      </w:r>
      <w:r w:rsidR="0078051F">
        <w:rPr>
          <w:rFonts w:ascii="Verdana" w:hAnsi="Verdana"/>
          <w:sz w:val="20"/>
          <w:szCs w:val="20"/>
          <w:lang w:eastAsia="it-IT"/>
        </w:rPr>
        <w:t>e stesso</w:t>
      </w:r>
      <w:r w:rsidR="00774151">
        <w:rPr>
          <w:rFonts w:ascii="Verdana" w:hAnsi="Verdana"/>
          <w:sz w:val="20"/>
          <w:szCs w:val="20"/>
          <w:lang w:eastAsia="it-IT"/>
        </w:rPr>
        <w:t xml:space="preserve"> e nel PTPC</w:t>
      </w:r>
      <w:r w:rsidR="000A1361">
        <w:rPr>
          <w:rFonts w:ascii="Verdana" w:hAnsi="Verdana"/>
          <w:sz w:val="20"/>
          <w:szCs w:val="20"/>
          <w:lang w:eastAsia="it-IT"/>
        </w:rPr>
        <w:t>T</w:t>
      </w:r>
      <w:r w:rsidR="0078051F">
        <w:rPr>
          <w:rFonts w:ascii="Verdana" w:hAnsi="Verdana"/>
          <w:sz w:val="20"/>
          <w:szCs w:val="20"/>
          <w:lang w:eastAsia="it-IT"/>
        </w:rPr>
        <w:t xml:space="preserve"> i</w:t>
      </w:r>
      <w:r w:rsidR="00636543" w:rsidRPr="009437D7">
        <w:rPr>
          <w:rFonts w:ascii="Verdana" w:hAnsi="Verdana"/>
          <w:sz w:val="20"/>
          <w:szCs w:val="20"/>
          <w:lang w:eastAsia="it-IT"/>
        </w:rPr>
        <w:t>l personale potrà segnalare al Respons</w:t>
      </w:r>
      <w:r w:rsidR="002B05BD">
        <w:rPr>
          <w:rFonts w:ascii="Verdana" w:hAnsi="Verdana"/>
          <w:sz w:val="20"/>
          <w:szCs w:val="20"/>
          <w:lang w:eastAsia="it-IT"/>
        </w:rPr>
        <w:t xml:space="preserve">abile Prevenzione Corruzione </w:t>
      </w:r>
      <w:r w:rsidR="000A1361">
        <w:rPr>
          <w:rFonts w:ascii="Verdana" w:hAnsi="Verdana"/>
          <w:sz w:val="20"/>
          <w:szCs w:val="20"/>
          <w:lang w:eastAsia="it-IT"/>
        </w:rPr>
        <w:t xml:space="preserve">ASP </w:t>
      </w:r>
      <w:r w:rsidR="002B05BD">
        <w:rPr>
          <w:rFonts w:ascii="Verdana" w:hAnsi="Verdana"/>
          <w:sz w:val="20"/>
          <w:szCs w:val="20"/>
          <w:lang w:eastAsia="it-IT"/>
        </w:rPr>
        <w:t xml:space="preserve"> e all’Organismo di Vigilanza </w:t>
      </w:r>
      <w:r w:rsidR="000A1361">
        <w:rPr>
          <w:rFonts w:ascii="Verdana" w:hAnsi="Verdana"/>
          <w:sz w:val="20"/>
          <w:szCs w:val="20"/>
          <w:lang w:eastAsia="it-IT"/>
        </w:rPr>
        <w:t xml:space="preserve">ASP </w:t>
      </w:r>
      <w:r w:rsidR="00636543" w:rsidRPr="009437D7">
        <w:rPr>
          <w:rFonts w:ascii="Verdana" w:hAnsi="Verdana"/>
          <w:sz w:val="20"/>
          <w:szCs w:val="20"/>
          <w:lang w:eastAsia="it-IT"/>
        </w:rPr>
        <w:t>eventuali richieste di chiarimento o possibili inosservanze al Codice. A tutte le richieste verrà data una tempestiva risposta senza che vi sia</w:t>
      </w:r>
      <w:r w:rsidR="002B05BD">
        <w:rPr>
          <w:rFonts w:ascii="Verdana" w:hAnsi="Verdana"/>
          <w:sz w:val="20"/>
          <w:szCs w:val="20"/>
          <w:lang w:eastAsia="it-IT"/>
        </w:rPr>
        <w:t>,</w:t>
      </w:r>
      <w:r w:rsidR="00636543" w:rsidRPr="009437D7">
        <w:rPr>
          <w:rFonts w:ascii="Verdana" w:hAnsi="Verdana"/>
          <w:sz w:val="20"/>
          <w:szCs w:val="20"/>
          <w:lang w:eastAsia="it-IT"/>
        </w:rPr>
        <w:t xml:space="preserve"> per chi ha effettuato la segnalazione</w:t>
      </w:r>
      <w:r w:rsidR="002B05BD">
        <w:rPr>
          <w:rFonts w:ascii="Verdana" w:hAnsi="Verdana"/>
          <w:sz w:val="20"/>
          <w:szCs w:val="20"/>
          <w:lang w:eastAsia="it-IT"/>
        </w:rPr>
        <w:t>,</w:t>
      </w:r>
      <w:r w:rsidR="00636543" w:rsidRPr="009437D7">
        <w:rPr>
          <w:rFonts w:ascii="Verdana" w:hAnsi="Verdana"/>
          <w:sz w:val="20"/>
          <w:szCs w:val="20"/>
          <w:lang w:eastAsia="it-IT"/>
        </w:rPr>
        <w:t xml:space="preserve"> alcun rischio di subire qualsiasi forma, anche indiretta, di ritorsione. La procedura</w:t>
      </w:r>
      <w:r w:rsidR="00C02F2A">
        <w:rPr>
          <w:rFonts w:ascii="Verdana" w:hAnsi="Verdana"/>
          <w:sz w:val="20"/>
          <w:szCs w:val="20"/>
          <w:lang w:eastAsia="it-IT"/>
        </w:rPr>
        <w:t xml:space="preserve"> "</w:t>
      </w:r>
      <w:r w:rsidR="00877E6F">
        <w:rPr>
          <w:rFonts w:ascii="Verdana" w:hAnsi="Verdana"/>
          <w:sz w:val="20"/>
          <w:szCs w:val="20"/>
          <w:lang w:eastAsia="it-IT"/>
        </w:rPr>
        <w:t>"</w:t>
      </w:r>
      <w:r w:rsidR="00877E6F" w:rsidRPr="00877E6F">
        <w:rPr>
          <w:rFonts w:ascii="Verdana" w:hAnsi="Verdana"/>
          <w:b/>
          <w:sz w:val="20"/>
          <w:szCs w:val="20"/>
          <w:lang w:eastAsia="it-IT"/>
        </w:rPr>
        <w:t>SEGNALAZIONE ILLECITO</w:t>
      </w:r>
      <w:r w:rsidR="00877E6F">
        <w:rPr>
          <w:rFonts w:ascii="Verdana" w:hAnsi="Verdana"/>
          <w:b/>
          <w:sz w:val="20"/>
          <w:szCs w:val="20"/>
          <w:lang w:eastAsia="it-IT"/>
        </w:rPr>
        <w:t>:</w:t>
      </w:r>
      <w:r w:rsidR="00962C91">
        <w:rPr>
          <w:rFonts w:ascii="Verdana" w:hAnsi="Verdana"/>
          <w:b/>
          <w:sz w:val="20"/>
          <w:szCs w:val="20"/>
          <w:lang w:eastAsia="it-IT"/>
        </w:rPr>
        <w:t xml:space="preserve"> </w:t>
      </w:r>
      <w:r w:rsidR="00962C91">
        <w:rPr>
          <w:rFonts w:ascii="Verdana" w:hAnsi="Verdana"/>
          <w:b/>
          <w:sz w:val="20"/>
          <w:szCs w:val="20"/>
          <w:lang w:eastAsia="it-IT"/>
        </w:rPr>
        <w:lastRenderedPageBreak/>
        <w:t>WISTL</w:t>
      </w:r>
      <w:r w:rsidR="00877E6F" w:rsidRPr="00877E6F">
        <w:rPr>
          <w:rFonts w:ascii="Verdana" w:hAnsi="Verdana"/>
          <w:b/>
          <w:sz w:val="20"/>
          <w:szCs w:val="20"/>
          <w:lang w:eastAsia="it-IT"/>
        </w:rPr>
        <w:t>EBLOWER</w:t>
      </w:r>
      <w:r w:rsidR="00877E6F">
        <w:rPr>
          <w:rFonts w:ascii="Verdana" w:hAnsi="Verdana"/>
          <w:sz w:val="20"/>
          <w:szCs w:val="20"/>
          <w:lang w:eastAsia="it-IT"/>
        </w:rPr>
        <w:t>"</w:t>
      </w:r>
      <w:r w:rsidR="00877E6F" w:rsidRPr="009437D7">
        <w:rPr>
          <w:rFonts w:ascii="Verdana" w:hAnsi="Verdana"/>
          <w:sz w:val="20"/>
          <w:szCs w:val="20"/>
          <w:lang w:eastAsia="it-IT"/>
        </w:rPr>
        <w:t xml:space="preserve"> </w:t>
      </w:r>
      <w:r w:rsidR="00636543" w:rsidRPr="009437D7">
        <w:rPr>
          <w:rFonts w:ascii="Verdana" w:hAnsi="Verdana"/>
          <w:sz w:val="20"/>
          <w:szCs w:val="20"/>
          <w:lang w:eastAsia="it-IT"/>
        </w:rPr>
        <w:t>da seguire</w:t>
      </w:r>
      <w:r w:rsidR="002B05BD">
        <w:rPr>
          <w:rFonts w:ascii="Verdana" w:hAnsi="Verdana"/>
          <w:sz w:val="20"/>
          <w:szCs w:val="20"/>
          <w:lang w:eastAsia="it-IT"/>
        </w:rPr>
        <w:t>,</w:t>
      </w:r>
      <w:r w:rsidR="00636543" w:rsidRPr="009437D7">
        <w:rPr>
          <w:rFonts w:ascii="Verdana" w:hAnsi="Verdana"/>
          <w:sz w:val="20"/>
          <w:szCs w:val="20"/>
          <w:lang w:eastAsia="it-IT"/>
        </w:rPr>
        <w:t xml:space="preserve">  anche al fine di garantire l'anonimato del segnalante</w:t>
      </w:r>
      <w:r w:rsidR="002B05BD">
        <w:rPr>
          <w:rFonts w:ascii="Verdana" w:hAnsi="Verdana"/>
          <w:sz w:val="20"/>
          <w:szCs w:val="20"/>
          <w:lang w:eastAsia="it-IT"/>
        </w:rPr>
        <w:t>,</w:t>
      </w:r>
      <w:r w:rsidR="00636543" w:rsidRPr="009437D7">
        <w:rPr>
          <w:rFonts w:ascii="Verdana" w:hAnsi="Verdana"/>
          <w:sz w:val="20"/>
          <w:szCs w:val="20"/>
          <w:lang w:eastAsia="it-IT"/>
        </w:rPr>
        <w:t xml:space="preserve"> è richiamata </w:t>
      </w:r>
      <w:r w:rsidR="00636543" w:rsidRPr="00774151">
        <w:rPr>
          <w:rFonts w:ascii="Verdana" w:hAnsi="Verdana"/>
          <w:sz w:val="20"/>
          <w:szCs w:val="20"/>
          <w:lang w:eastAsia="it-IT"/>
        </w:rPr>
        <w:t>nella sez</w:t>
      </w:r>
      <w:r w:rsidR="00373248" w:rsidRPr="00774151">
        <w:rPr>
          <w:rFonts w:ascii="Verdana" w:hAnsi="Verdana"/>
          <w:sz w:val="20"/>
          <w:szCs w:val="20"/>
          <w:lang w:eastAsia="it-IT"/>
        </w:rPr>
        <w:t>ione del sito web istituzionale</w:t>
      </w:r>
      <w:r w:rsidR="002B05BD" w:rsidRPr="00774151">
        <w:rPr>
          <w:rFonts w:ascii="Verdana" w:hAnsi="Verdana"/>
          <w:sz w:val="20"/>
          <w:szCs w:val="20"/>
          <w:lang w:eastAsia="it-IT"/>
        </w:rPr>
        <w:t>:</w:t>
      </w:r>
      <w:r w:rsidR="00877E6F" w:rsidRPr="00774151">
        <w:rPr>
          <w:rFonts w:ascii="Verdana" w:hAnsi="Verdana"/>
          <w:sz w:val="20"/>
          <w:szCs w:val="20"/>
          <w:lang w:eastAsia="it-IT"/>
        </w:rPr>
        <w:t xml:space="preserve"> "AMMINISTRAZIONE TRASPARENTE"</w:t>
      </w:r>
      <w:r w:rsidR="002B05BD" w:rsidRPr="00774151">
        <w:rPr>
          <w:rFonts w:ascii="Verdana" w:hAnsi="Verdana"/>
          <w:sz w:val="20"/>
          <w:szCs w:val="20"/>
          <w:lang w:eastAsia="it-IT"/>
        </w:rPr>
        <w:t xml:space="preserve"> - </w:t>
      </w:r>
      <w:r w:rsidR="00877E6F" w:rsidRPr="00774151">
        <w:rPr>
          <w:rFonts w:ascii="Verdana" w:hAnsi="Verdana"/>
          <w:sz w:val="20"/>
          <w:szCs w:val="20"/>
          <w:lang w:eastAsia="it-IT"/>
        </w:rPr>
        <w:t>cartella:</w:t>
      </w:r>
      <w:r w:rsidR="002B05BD" w:rsidRPr="00774151">
        <w:rPr>
          <w:rFonts w:ascii="Verdana" w:hAnsi="Verdana"/>
          <w:sz w:val="20"/>
          <w:szCs w:val="20"/>
          <w:lang w:eastAsia="it-IT"/>
        </w:rPr>
        <w:t xml:space="preserve"> ALTRI CONTENUTI -</w:t>
      </w:r>
      <w:r w:rsidR="007D5BD4">
        <w:rPr>
          <w:rFonts w:ascii="Verdana" w:hAnsi="Verdana"/>
          <w:sz w:val="20"/>
          <w:szCs w:val="20"/>
          <w:lang w:eastAsia="it-IT"/>
        </w:rPr>
        <w:t xml:space="preserve"> </w:t>
      </w:r>
      <w:r w:rsidR="00877E6F" w:rsidRPr="00774151">
        <w:rPr>
          <w:rFonts w:ascii="Verdana" w:hAnsi="Verdana"/>
          <w:sz w:val="20"/>
          <w:szCs w:val="20"/>
          <w:lang w:eastAsia="it-IT"/>
        </w:rPr>
        <w:t>sottocartella: CORRUZIONE.</w:t>
      </w:r>
    </w:p>
    <w:p w:rsidR="00636543" w:rsidRPr="009437D7" w:rsidRDefault="00A05477" w:rsidP="00636543">
      <w:pPr>
        <w:jc w:val="both"/>
        <w:rPr>
          <w:rFonts w:ascii="Verdana" w:hAnsi="Verdana"/>
          <w:b/>
          <w:sz w:val="20"/>
          <w:szCs w:val="20"/>
        </w:rPr>
      </w:pPr>
      <w:r w:rsidRPr="009437D7">
        <w:rPr>
          <w:rFonts w:ascii="Verdana" w:hAnsi="Verdana"/>
          <w:b/>
          <w:sz w:val="20"/>
          <w:szCs w:val="20"/>
        </w:rPr>
        <w:t>3.</w:t>
      </w:r>
      <w:r w:rsidR="00636543" w:rsidRPr="009437D7">
        <w:rPr>
          <w:rFonts w:ascii="Verdana" w:hAnsi="Verdana"/>
          <w:b/>
          <w:sz w:val="20"/>
          <w:szCs w:val="20"/>
        </w:rPr>
        <w:t>SUSSISTENZA VIZIO DI  CONFLITTUALITÀ</w:t>
      </w:r>
      <w:r w:rsidR="00FF4E20" w:rsidRPr="009437D7">
        <w:rPr>
          <w:rFonts w:ascii="Verdana" w:hAnsi="Verdana"/>
          <w:b/>
          <w:sz w:val="20"/>
          <w:szCs w:val="20"/>
        </w:rPr>
        <w:t xml:space="preserve"> DEL PERSONALE </w:t>
      </w:r>
    </w:p>
    <w:p w:rsidR="0005759E" w:rsidRPr="009437D7" w:rsidRDefault="00A05477" w:rsidP="0005759E">
      <w:pPr>
        <w:jc w:val="both"/>
        <w:rPr>
          <w:rFonts w:ascii="Verdana" w:hAnsi="Verdana"/>
          <w:sz w:val="20"/>
          <w:szCs w:val="20"/>
          <w:lang w:eastAsia="it-IT"/>
        </w:rPr>
      </w:pPr>
      <w:r w:rsidRPr="009437D7">
        <w:rPr>
          <w:rFonts w:ascii="Verdana" w:hAnsi="Verdana"/>
          <w:sz w:val="20"/>
          <w:szCs w:val="20"/>
          <w:lang w:eastAsia="it-IT"/>
        </w:rPr>
        <w:t>3.1</w:t>
      </w:r>
      <w:r w:rsidR="002B05BD">
        <w:rPr>
          <w:rFonts w:ascii="Verdana" w:hAnsi="Verdana"/>
          <w:sz w:val="20"/>
          <w:szCs w:val="20"/>
          <w:lang w:eastAsia="it-IT"/>
        </w:rPr>
        <w:t xml:space="preserve"> </w:t>
      </w:r>
      <w:r w:rsidR="0005759E" w:rsidRPr="009437D7">
        <w:rPr>
          <w:rFonts w:ascii="Verdana" w:hAnsi="Verdana"/>
          <w:sz w:val="20"/>
          <w:szCs w:val="20"/>
          <w:lang w:eastAsia="it-IT"/>
        </w:rPr>
        <w:t xml:space="preserve">Secondo quanto previsto nel Codice </w:t>
      </w:r>
      <w:r w:rsidRPr="009437D7">
        <w:rPr>
          <w:rFonts w:ascii="Verdana" w:hAnsi="Verdana"/>
          <w:sz w:val="20"/>
          <w:szCs w:val="20"/>
          <w:lang w:eastAsia="it-IT"/>
        </w:rPr>
        <w:t>Etico</w:t>
      </w:r>
      <w:r w:rsidR="002B05BD">
        <w:rPr>
          <w:rFonts w:ascii="Verdana" w:hAnsi="Verdana"/>
          <w:sz w:val="20"/>
          <w:szCs w:val="20"/>
          <w:lang w:eastAsia="it-IT"/>
        </w:rPr>
        <w:t>-</w:t>
      </w:r>
      <w:r w:rsidRPr="009437D7">
        <w:rPr>
          <w:rFonts w:ascii="Verdana" w:hAnsi="Verdana"/>
          <w:sz w:val="20"/>
          <w:szCs w:val="20"/>
          <w:lang w:eastAsia="it-IT"/>
        </w:rPr>
        <w:t>comportamentale</w:t>
      </w:r>
      <w:r w:rsidR="0005759E" w:rsidRPr="009437D7">
        <w:rPr>
          <w:rFonts w:ascii="Verdana" w:hAnsi="Verdana"/>
          <w:sz w:val="20"/>
          <w:szCs w:val="20"/>
          <w:lang w:eastAsia="it-IT"/>
        </w:rPr>
        <w:t xml:space="preserve"> il personale si deve astenere  dal partecipare all’adozione di decisioni o attività che possano coinvolgere interessi propri, ovvero di parenti e affini entro il secondo grado, del coniuge o di conviventi, oppure di persone con le quali abbiano rapporti di frequentazione abituale, ovvero, di soggetti od organizzazioni con cui abbiano causa pendente o rapporti di credito o debito significativi, ovvero di soggetti od organizzazioni di cui siano tutori, curatori, procuratori o agenti, ovvero di eventuali altri enti, comitati, società o stabilimenti, associazioni anche non riconosciute, di cui siano amministratori o gerenti o dirigenti.</w:t>
      </w:r>
    </w:p>
    <w:p w:rsidR="0005759E" w:rsidRPr="009437D7" w:rsidRDefault="00A05477" w:rsidP="0005759E">
      <w:pPr>
        <w:jc w:val="both"/>
        <w:rPr>
          <w:rFonts w:ascii="Verdana" w:hAnsi="Verdana"/>
          <w:sz w:val="20"/>
          <w:szCs w:val="20"/>
          <w:lang w:eastAsia="it-IT"/>
        </w:rPr>
      </w:pPr>
      <w:r w:rsidRPr="009437D7">
        <w:rPr>
          <w:rFonts w:ascii="Verdana" w:hAnsi="Verdana"/>
          <w:sz w:val="20"/>
          <w:szCs w:val="20"/>
          <w:lang w:eastAsia="it-IT"/>
        </w:rPr>
        <w:t xml:space="preserve">3.2 </w:t>
      </w:r>
      <w:r w:rsidR="0005759E" w:rsidRPr="009437D7">
        <w:rPr>
          <w:rFonts w:ascii="Verdana" w:hAnsi="Verdana"/>
          <w:sz w:val="20"/>
          <w:szCs w:val="20"/>
          <w:lang w:eastAsia="it-IT"/>
        </w:rPr>
        <w:t xml:space="preserve">Nel caso in cui il  personale si trovi in condizione di anche solo potenziale vizio di conflittualità, </w:t>
      </w:r>
      <w:r w:rsidR="002B05BD">
        <w:rPr>
          <w:rFonts w:ascii="Verdana" w:hAnsi="Verdana"/>
          <w:sz w:val="20"/>
          <w:szCs w:val="20"/>
          <w:lang w:eastAsia="it-IT"/>
        </w:rPr>
        <w:t xml:space="preserve">di cui al punto 3.1, </w:t>
      </w:r>
      <w:r w:rsidR="0005759E" w:rsidRPr="009437D7">
        <w:rPr>
          <w:rFonts w:ascii="Verdana" w:hAnsi="Verdana"/>
          <w:sz w:val="20"/>
          <w:szCs w:val="20"/>
          <w:lang w:eastAsia="it-IT"/>
        </w:rPr>
        <w:t>è fatto obbligo agli stessi di informare sempre tempestivamente il Responsabile Prevenzione Corruzione ed i memb</w:t>
      </w:r>
      <w:r w:rsidR="001D26CB">
        <w:rPr>
          <w:rFonts w:ascii="Verdana" w:hAnsi="Verdana"/>
          <w:sz w:val="20"/>
          <w:szCs w:val="20"/>
          <w:lang w:eastAsia="it-IT"/>
        </w:rPr>
        <w:t xml:space="preserve">ri dell'Organismo di Vigilanza </w:t>
      </w:r>
      <w:r w:rsidR="0005759E" w:rsidRPr="009437D7">
        <w:rPr>
          <w:rFonts w:ascii="Verdana" w:hAnsi="Verdana"/>
          <w:sz w:val="20"/>
          <w:szCs w:val="20"/>
          <w:lang w:eastAsia="it-IT"/>
        </w:rPr>
        <w:t>degli eventuali contatti avviati, ai fini dell’assunzione di inc</w:t>
      </w:r>
      <w:r w:rsidR="00E72FF9">
        <w:rPr>
          <w:rFonts w:ascii="Verdana" w:hAnsi="Verdana"/>
          <w:sz w:val="20"/>
          <w:szCs w:val="20"/>
          <w:lang w:eastAsia="it-IT"/>
        </w:rPr>
        <w:t xml:space="preserve">arichi esterni alla </w:t>
      </w:r>
      <w:r w:rsidR="000A1361">
        <w:rPr>
          <w:rFonts w:ascii="Verdana" w:hAnsi="Verdana"/>
          <w:sz w:val="20"/>
          <w:szCs w:val="20"/>
          <w:lang w:eastAsia="it-IT"/>
        </w:rPr>
        <w:t xml:space="preserve">AZIENDA </w:t>
      </w:r>
      <w:r w:rsidR="00774151">
        <w:rPr>
          <w:rFonts w:ascii="Verdana" w:hAnsi="Verdana"/>
          <w:sz w:val="20"/>
          <w:szCs w:val="20"/>
          <w:lang w:eastAsia="it-IT"/>
        </w:rPr>
        <w:t xml:space="preserve"> </w:t>
      </w:r>
      <w:r w:rsidR="00E72FF9">
        <w:rPr>
          <w:rFonts w:ascii="Verdana" w:hAnsi="Verdana"/>
          <w:sz w:val="20"/>
          <w:szCs w:val="20"/>
          <w:lang w:eastAsia="it-IT"/>
        </w:rPr>
        <w:t xml:space="preserve"> </w:t>
      </w:r>
      <w:r w:rsidR="0005759E" w:rsidRPr="009437D7">
        <w:rPr>
          <w:rFonts w:ascii="Verdana" w:hAnsi="Verdana"/>
          <w:sz w:val="20"/>
          <w:szCs w:val="20"/>
          <w:lang w:eastAsia="it-IT"/>
        </w:rPr>
        <w:t xml:space="preserve">con soggetti interessati anche solo potenzialmente all’attività della </w:t>
      </w:r>
      <w:r w:rsidR="000A1361">
        <w:rPr>
          <w:rFonts w:ascii="Verdana" w:hAnsi="Verdana"/>
          <w:sz w:val="20"/>
          <w:szCs w:val="20"/>
          <w:lang w:eastAsia="it-IT"/>
        </w:rPr>
        <w:t xml:space="preserve">AZIENDA </w:t>
      </w:r>
      <w:r w:rsidR="00774151">
        <w:rPr>
          <w:rFonts w:ascii="Verdana" w:hAnsi="Verdana"/>
          <w:sz w:val="20"/>
          <w:szCs w:val="20"/>
          <w:lang w:eastAsia="it-IT"/>
        </w:rPr>
        <w:t xml:space="preserve"> </w:t>
      </w:r>
      <w:r w:rsidR="0005759E" w:rsidRPr="009437D7">
        <w:rPr>
          <w:rFonts w:ascii="Verdana" w:hAnsi="Verdana"/>
          <w:sz w:val="20"/>
          <w:szCs w:val="20"/>
          <w:lang w:eastAsia="it-IT"/>
        </w:rPr>
        <w:t xml:space="preserve"> medesima, ovvero ai fini dello svolgimento di attività in cui la propria posizione presso la </w:t>
      </w:r>
      <w:r w:rsidR="000A1361">
        <w:rPr>
          <w:rFonts w:ascii="Verdana" w:hAnsi="Verdana"/>
          <w:sz w:val="20"/>
          <w:szCs w:val="20"/>
          <w:lang w:eastAsia="it-IT"/>
        </w:rPr>
        <w:t xml:space="preserve">AZIENDA </w:t>
      </w:r>
      <w:r w:rsidR="00774151">
        <w:rPr>
          <w:rFonts w:ascii="Verdana" w:hAnsi="Verdana"/>
          <w:sz w:val="20"/>
          <w:szCs w:val="20"/>
          <w:lang w:eastAsia="it-IT"/>
        </w:rPr>
        <w:t xml:space="preserve"> </w:t>
      </w:r>
      <w:r w:rsidR="0005759E" w:rsidRPr="009437D7">
        <w:rPr>
          <w:rFonts w:ascii="Verdana" w:hAnsi="Verdana"/>
          <w:sz w:val="20"/>
          <w:szCs w:val="20"/>
          <w:lang w:eastAsia="it-IT"/>
        </w:rPr>
        <w:t xml:space="preserve"> possa essere utilizzata per fini privati di lucro dal soggetto che conferisce l’incarico.</w:t>
      </w:r>
      <w:r w:rsidR="00C26290" w:rsidRPr="009437D7">
        <w:rPr>
          <w:rFonts w:ascii="Verdana" w:hAnsi="Verdana"/>
          <w:sz w:val="20"/>
          <w:szCs w:val="20"/>
          <w:lang w:eastAsia="it-IT"/>
        </w:rPr>
        <w:t xml:space="preserve"> La segnalazione dovrà prevedere l'indicazione</w:t>
      </w:r>
      <w:r w:rsidR="00FF4E20" w:rsidRPr="009437D7">
        <w:rPr>
          <w:rFonts w:ascii="Verdana" w:hAnsi="Verdana"/>
          <w:sz w:val="20"/>
          <w:szCs w:val="20"/>
          <w:lang w:eastAsia="it-IT"/>
        </w:rPr>
        <w:t xml:space="preserve"> dettagliata</w:t>
      </w:r>
      <w:r w:rsidR="00C26290" w:rsidRPr="009437D7">
        <w:rPr>
          <w:rFonts w:ascii="Verdana" w:hAnsi="Verdana"/>
          <w:sz w:val="20"/>
          <w:szCs w:val="20"/>
          <w:lang w:eastAsia="it-IT"/>
        </w:rPr>
        <w:t xml:space="preserve">  del caso specifico di anche potenziale conflittualità</w:t>
      </w:r>
      <w:r w:rsidR="00FF4E20" w:rsidRPr="009437D7">
        <w:rPr>
          <w:rFonts w:ascii="Verdana" w:hAnsi="Verdana"/>
          <w:sz w:val="20"/>
          <w:szCs w:val="20"/>
          <w:lang w:eastAsia="it-IT"/>
        </w:rPr>
        <w:t>, gli elementi oggettivi per poter approfondire la verifica, l'eventuale periodo se circoscritto nel tempo in cui si è riscontrato il vizio di conflittualità,</w:t>
      </w:r>
      <w:r w:rsidR="00C26290" w:rsidRPr="009437D7">
        <w:rPr>
          <w:rFonts w:ascii="Verdana" w:hAnsi="Verdana"/>
          <w:sz w:val="20"/>
          <w:szCs w:val="20"/>
          <w:lang w:eastAsia="it-IT"/>
        </w:rPr>
        <w:t xml:space="preserve"> </w:t>
      </w:r>
      <w:r w:rsidR="00FF4E20" w:rsidRPr="009437D7">
        <w:rPr>
          <w:rFonts w:ascii="Verdana" w:hAnsi="Verdana"/>
          <w:sz w:val="20"/>
          <w:szCs w:val="20"/>
          <w:lang w:eastAsia="it-IT"/>
        </w:rPr>
        <w:t xml:space="preserve"> </w:t>
      </w:r>
      <w:r w:rsidR="00C26290" w:rsidRPr="009437D7">
        <w:rPr>
          <w:rFonts w:ascii="Verdana" w:hAnsi="Verdana"/>
          <w:sz w:val="20"/>
          <w:szCs w:val="20"/>
          <w:lang w:eastAsia="it-IT"/>
        </w:rPr>
        <w:t>i soggetti o le persone coinvolte in posizione di conflittualità. Il Responsabile Prevenzione Corruzione ed i memb</w:t>
      </w:r>
      <w:r w:rsidR="00E72FF9">
        <w:rPr>
          <w:rFonts w:ascii="Verdana" w:hAnsi="Verdana"/>
          <w:sz w:val="20"/>
          <w:szCs w:val="20"/>
          <w:lang w:eastAsia="it-IT"/>
        </w:rPr>
        <w:t xml:space="preserve">ri dell'Organismo di Vigilanza avvieranno una </w:t>
      </w:r>
      <w:r w:rsidR="00C26290" w:rsidRPr="009437D7">
        <w:rPr>
          <w:rFonts w:ascii="Verdana" w:hAnsi="Verdana"/>
          <w:sz w:val="20"/>
          <w:szCs w:val="20"/>
          <w:lang w:eastAsia="it-IT"/>
        </w:rPr>
        <w:t>attivit</w:t>
      </w:r>
      <w:r w:rsidR="00E72FF9">
        <w:rPr>
          <w:rFonts w:ascii="Verdana" w:hAnsi="Verdana"/>
          <w:sz w:val="20"/>
          <w:szCs w:val="20"/>
          <w:lang w:eastAsia="it-IT"/>
        </w:rPr>
        <w:t xml:space="preserve">à </w:t>
      </w:r>
      <w:r w:rsidR="00C26290" w:rsidRPr="009437D7">
        <w:rPr>
          <w:rFonts w:ascii="Verdana" w:hAnsi="Verdana"/>
          <w:sz w:val="20"/>
          <w:szCs w:val="20"/>
          <w:lang w:eastAsia="it-IT"/>
        </w:rPr>
        <w:t>di verifi</w:t>
      </w:r>
      <w:r w:rsidR="00E72FF9">
        <w:rPr>
          <w:rFonts w:ascii="Verdana" w:hAnsi="Verdana"/>
          <w:sz w:val="20"/>
          <w:szCs w:val="20"/>
          <w:lang w:eastAsia="it-IT"/>
        </w:rPr>
        <w:t>ca a seconda della pertinenza (</w:t>
      </w:r>
      <w:r w:rsidR="00C26290" w:rsidRPr="009437D7">
        <w:rPr>
          <w:rFonts w:ascii="Verdana" w:hAnsi="Verdana"/>
          <w:sz w:val="20"/>
          <w:szCs w:val="20"/>
          <w:lang w:eastAsia="it-IT"/>
        </w:rPr>
        <w:t>rammentando che l'OdV si riferisce solo ai reati presupposto che possono prevedere la responsabilità amministrativa dell'Ente) per ravvisare la sussistenza della segnalazione e nel caso si riferiranno ai  referenti responsabili per trovare soluzioni di mitigazione del vizio di conflittualità.</w:t>
      </w:r>
    </w:p>
    <w:p w:rsidR="00877E6F" w:rsidRPr="009437D7" w:rsidRDefault="00FF4E20" w:rsidP="00877E6F">
      <w:pPr>
        <w:jc w:val="both"/>
        <w:rPr>
          <w:rFonts w:ascii="Verdana" w:hAnsi="Verdana"/>
          <w:sz w:val="20"/>
          <w:szCs w:val="20"/>
          <w:lang w:eastAsia="it-IT"/>
        </w:rPr>
      </w:pPr>
      <w:r w:rsidRPr="009437D7">
        <w:rPr>
          <w:rFonts w:ascii="Verdana" w:hAnsi="Verdana"/>
          <w:sz w:val="20"/>
          <w:szCs w:val="20"/>
          <w:lang w:eastAsia="it-IT"/>
        </w:rPr>
        <w:t>3.3.</w:t>
      </w:r>
      <w:r w:rsidR="00E72FF9">
        <w:rPr>
          <w:rFonts w:ascii="Verdana" w:hAnsi="Verdana"/>
          <w:sz w:val="20"/>
          <w:szCs w:val="20"/>
          <w:lang w:eastAsia="it-IT"/>
        </w:rPr>
        <w:t xml:space="preserve"> </w:t>
      </w:r>
      <w:r w:rsidRPr="009437D7">
        <w:rPr>
          <w:rFonts w:ascii="Verdana" w:hAnsi="Verdana"/>
          <w:sz w:val="20"/>
          <w:szCs w:val="20"/>
          <w:lang w:eastAsia="it-IT"/>
        </w:rPr>
        <w:t>Chiunque venisse a conoscenza di situazioni anche potenziali di vizio di conflittualità è tenuto a segnalarlo. La procedura</w:t>
      </w:r>
      <w:r w:rsidR="00877E6F">
        <w:rPr>
          <w:rFonts w:ascii="Verdana" w:hAnsi="Verdana"/>
          <w:sz w:val="20"/>
          <w:szCs w:val="20"/>
          <w:lang w:eastAsia="it-IT"/>
        </w:rPr>
        <w:t xml:space="preserve"> "</w:t>
      </w:r>
      <w:r w:rsidR="00877E6F" w:rsidRPr="00877E6F">
        <w:rPr>
          <w:rFonts w:ascii="Verdana" w:hAnsi="Verdana"/>
          <w:b/>
          <w:sz w:val="20"/>
          <w:szCs w:val="20"/>
          <w:lang w:eastAsia="it-IT"/>
        </w:rPr>
        <w:t xml:space="preserve">SEGNALAZIONE ILLECITO </w:t>
      </w:r>
      <w:r w:rsidR="00FD7838" w:rsidRPr="00FD7838">
        <w:rPr>
          <w:rFonts w:ascii="Verdana" w:hAnsi="Verdana"/>
          <w:b/>
          <w:sz w:val="20"/>
          <w:szCs w:val="20"/>
          <w:lang w:eastAsia="it-IT"/>
        </w:rPr>
        <w:t>WHISTLEBLOWER</w:t>
      </w:r>
      <w:r w:rsidR="00877E6F">
        <w:rPr>
          <w:rFonts w:ascii="Verdana" w:hAnsi="Verdana"/>
          <w:sz w:val="20"/>
          <w:szCs w:val="20"/>
          <w:lang w:eastAsia="it-IT"/>
        </w:rPr>
        <w:t>"</w:t>
      </w:r>
      <w:r w:rsidRPr="009437D7">
        <w:rPr>
          <w:rFonts w:ascii="Verdana" w:hAnsi="Verdana"/>
          <w:sz w:val="20"/>
          <w:szCs w:val="20"/>
          <w:lang w:eastAsia="it-IT"/>
        </w:rPr>
        <w:t xml:space="preserve"> da seguire</w:t>
      </w:r>
      <w:r w:rsidR="00E72FF9">
        <w:rPr>
          <w:rFonts w:ascii="Verdana" w:hAnsi="Verdana"/>
          <w:sz w:val="20"/>
          <w:szCs w:val="20"/>
          <w:lang w:eastAsia="it-IT"/>
        </w:rPr>
        <w:t>,</w:t>
      </w:r>
      <w:r w:rsidRPr="009437D7">
        <w:rPr>
          <w:rFonts w:ascii="Verdana" w:hAnsi="Verdana"/>
          <w:sz w:val="20"/>
          <w:szCs w:val="20"/>
          <w:lang w:eastAsia="it-IT"/>
        </w:rPr>
        <w:t xml:space="preserve"> anche al fine di garantire l'anonimato del segnalante</w:t>
      </w:r>
      <w:r w:rsidR="00E72FF9">
        <w:rPr>
          <w:rFonts w:ascii="Verdana" w:hAnsi="Verdana"/>
          <w:sz w:val="20"/>
          <w:szCs w:val="20"/>
          <w:lang w:eastAsia="it-IT"/>
        </w:rPr>
        <w:t>,</w:t>
      </w:r>
      <w:r w:rsidRPr="009437D7">
        <w:rPr>
          <w:rFonts w:ascii="Verdana" w:hAnsi="Verdana"/>
          <w:sz w:val="20"/>
          <w:szCs w:val="20"/>
          <w:lang w:eastAsia="it-IT"/>
        </w:rPr>
        <w:t xml:space="preserve"> è richiamata </w:t>
      </w:r>
      <w:r w:rsidR="00877E6F" w:rsidRPr="009437D7">
        <w:rPr>
          <w:rFonts w:ascii="Verdana" w:hAnsi="Verdana"/>
          <w:sz w:val="20"/>
          <w:szCs w:val="20"/>
          <w:lang w:eastAsia="it-IT"/>
        </w:rPr>
        <w:t xml:space="preserve">nella </w:t>
      </w:r>
      <w:r w:rsidR="00E72FF9">
        <w:rPr>
          <w:rFonts w:ascii="Verdana" w:hAnsi="Verdana"/>
          <w:sz w:val="20"/>
          <w:szCs w:val="20"/>
          <w:lang w:eastAsia="it-IT"/>
        </w:rPr>
        <w:t xml:space="preserve">sezione, del sito web istituzionale: </w:t>
      </w:r>
      <w:r w:rsidR="00877E6F">
        <w:rPr>
          <w:rFonts w:ascii="Verdana" w:hAnsi="Verdana"/>
          <w:sz w:val="20"/>
          <w:szCs w:val="20"/>
          <w:lang w:eastAsia="it-IT"/>
        </w:rPr>
        <w:t>"AMMINISTRAZIONE TRASPARENTE"</w:t>
      </w:r>
      <w:r w:rsidR="00E72FF9">
        <w:rPr>
          <w:rFonts w:ascii="Verdana" w:hAnsi="Verdana"/>
          <w:sz w:val="20"/>
          <w:szCs w:val="20"/>
          <w:lang w:eastAsia="it-IT"/>
        </w:rPr>
        <w:t xml:space="preserve"> </w:t>
      </w:r>
      <w:r w:rsidR="00877E6F">
        <w:rPr>
          <w:rFonts w:ascii="Verdana" w:hAnsi="Verdana"/>
          <w:sz w:val="20"/>
          <w:szCs w:val="20"/>
          <w:lang w:eastAsia="it-IT"/>
        </w:rPr>
        <w:t>- cartella:</w:t>
      </w:r>
      <w:r w:rsidR="00E72FF9">
        <w:rPr>
          <w:rFonts w:ascii="Verdana" w:hAnsi="Verdana"/>
          <w:sz w:val="20"/>
          <w:szCs w:val="20"/>
          <w:lang w:eastAsia="it-IT"/>
        </w:rPr>
        <w:t xml:space="preserve"> ALTRI CONTENUTI - </w:t>
      </w:r>
      <w:r w:rsidR="00877E6F">
        <w:rPr>
          <w:rFonts w:ascii="Verdana" w:hAnsi="Verdana"/>
          <w:sz w:val="20"/>
          <w:szCs w:val="20"/>
          <w:lang w:eastAsia="it-IT"/>
        </w:rPr>
        <w:t>sottocartella: CORRUZIONE.</w:t>
      </w:r>
    </w:p>
    <w:p w:rsidR="00A05477" w:rsidRPr="009437D7" w:rsidRDefault="00FF4E20" w:rsidP="0005759E">
      <w:pPr>
        <w:jc w:val="both"/>
        <w:rPr>
          <w:rFonts w:ascii="Verdana" w:hAnsi="Verdana"/>
          <w:b/>
          <w:sz w:val="20"/>
          <w:szCs w:val="20"/>
        </w:rPr>
      </w:pPr>
      <w:r w:rsidRPr="009437D7">
        <w:rPr>
          <w:rFonts w:ascii="Verdana" w:hAnsi="Verdana"/>
          <w:b/>
          <w:sz w:val="20"/>
          <w:szCs w:val="20"/>
        </w:rPr>
        <w:t>4. PARTECI</w:t>
      </w:r>
      <w:r w:rsidR="00CE5FC7">
        <w:rPr>
          <w:rFonts w:ascii="Verdana" w:hAnsi="Verdana"/>
          <w:b/>
          <w:sz w:val="20"/>
          <w:szCs w:val="20"/>
        </w:rPr>
        <w:t xml:space="preserve">PAZIONE DEL PERSONALE IN </w:t>
      </w:r>
      <w:r w:rsidRPr="009437D7">
        <w:rPr>
          <w:rFonts w:ascii="Verdana" w:hAnsi="Verdana"/>
          <w:b/>
          <w:sz w:val="20"/>
          <w:szCs w:val="20"/>
        </w:rPr>
        <w:t xml:space="preserve"> COMMISSIONI DI VALUTAZIONE  </w:t>
      </w:r>
      <w:r w:rsidR="0030588E" w:rsidRPr="009437D7">
        <w:rPr>
          <w:rFonts w:ascii="Verdana" w:hAnsi="Verdana"/>
          <w:b/>
          <w:sz w:val="20"/>
          <w:szCs w:val="20"/>
        </w:rPr>
        <w:t>E VIZIO DI CONFLITTUALITA'</w:t>
      </w:r>
    </w:p>
    <w:p w:rsidR="00FB46CA" w:rsidRPr="003B2F63" w:rsidRDefault="00FB46CA" w:rsidP="0005759E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B2F63">
        <w:rPr>
          <w:rFonts w:ascii="Verdana" w:hAnsi="Verdana"/>
          <w:sz w:val="20"/>
          <w:szCs w:val="20"/>
          <w:shd w:val="clear" w:color="auto" w:fill="FFFFFF"/>
        </w:rPr>
        <w:t>4.1</w:t>
      </w:r>
      <w:r w:rsidR="009437D7" w:rsidRPr="003B2F6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>Le commissioni di gara, al pari delle commissioni di concorso, hanno l’obbligo di essere composte da commissari che dichiarano l’assenza di ogni conflitto di interesse o coinvolgimento nella definizione dell’oggetto di gara, corollario delle regole della trasp</w:t>
      </w:r>
      <w:r w:rsidR="00CE5FC7">
        <w:rPr>
          <w:rFonts w:ascii="Verdana" w:hAnsi="Verdana"/>
          <w:sz w:val="20"/>
          <w:szCs w:val="20"/>
          <w:shd w:val="clear" w:color="auto" w:fill="FFFFFF"/>
        </w:rPr>
        <w:t xml:space="preserve">arenza, con il fondamentale 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 xml:space="preserve">scopo di eliminare i rischi di favoritismo e arbitrarietà nei confronti di taluni offerenti o di talune offerte. </w:t>
      </w:r>
      <w:r w:rsidRPr="001D26CB">
        <w:rPr>
          <w:rFonts w:ascii="Verdana" w:hAnsi="Verdana"/>
          <w:sz w:val="20"/>
          <w:szCs w:val="20"/>
          <w:shd w:val="clear" w:color="auto" w:fill="FFFFFF"/>
        </w:rPr>
        <w:t xml:space="preserve">Tutti i membri di commissioni giudicatrici sono pertanto tenuti a </w:t>
      </w:r>
      <w:r w:rsidRPr="00774151">
        <w:rPr>
          <w:rFonts w:ascii="Verdana" w:hAnsi="Verdana"/>
          <w:sz w:val="20"/>
          <w:szCs w:val="20"/>
          <w:shd w:val="clear" w:color="auto" w:fill="FFFFFF"/>
        </w:rPr>
        <w:t xml:space="preserve">dichiarare </w:t>
      </w:r>
      <w:r w:rsidR="001D26CB" w:rsidRPr="00774151">
        <w:rPr>
          <w:rFonts w:ascii="Verdana" w:hAnsi="Verdana"/>
          <w:sz w:val="20"/>
          <w:szCs w:val="20"/>
          <w:shd w:val="clear" w:color="auto" w:fill="FFFFFF"/>
        </w:rPr>
        <w:t xml:space="preserve">la presenza </w:t>
      </w:r>
      <w:r w:rsidRPr="00774151">
        <w:rPr>
          <w:rFonts w:ascii="Verdana" w:hAnsi="Verdana"/>
          <w:sz w:val="20"/>
          <w:szCs w:val="20"/>
          <w:shd w:val="clear" w:color="auto" w:fill="FFFFFF"/>
        </w:rPr>
        <w:t>di vizi di conflittualità</w:t>
      </w:r>
      <w:r w:rsidR="009437D7" w:rsidRPr="00774151">
        <w:rPr>
          <w:rFonts w:ascii="Verdana" w:hAnsi="Verdana"/>
          <w:sz w:val="20"/>
          <w:szCs w:val="20"/>
          <w:shd w:val="clear" w:color="auto" w:fill="FFFFFF"/>
        </w:rPr>
        <w:t xml:space="preserve"> e i casi di incompatibilità.</w:t>
      </w:r>
    </w:p>
    <w:p w:rsidR="00FB46CA" w:rsidRPr="003B2F63" w:rsidRDefault="00FB46CA" w:rsidP="0005759E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B2F63">
        <w:rPr>
          <w:rFonts w:ascii="Verdana" w:hAnsi="Verdana"/>
          <w:sz w:val="20"/>
          <w:szCs w:val="20"/>
          <w:shd w:val="clear" w:color="auto" w:fill="FFFFFF"/>
        </w:rPr>
        <w:t>4.</w:t>
      </w:r>
      <w:r w:rsidR="009437D7" w:rsidRPr="003B2F63">
        <w:rPr>
          <w:rFonts w:ascii="Verdana" w:hAnsi="Verdana"/>
          <w:sz w:val="20"/>
          <w:szCs w:val="20"/>
          <w:shd w:val="clear" w:color="auto" w:fill="FFFFFF"/>
        </w:rPr>
        <w:t>2 I</w:t>
      </w:r>
      <w:r w:rsidR="008334C4" w:rsidRPr="003B2F63">
        <w:rPr>
          <w:rFonts w:ascii="Verdana" w:hAnsi="Verdana"/>
          <w:sz w:val="20"/>
          <w:szCs w:val="20"/>
          <w:shd w:val="clear" w:color="auto" w:fill="FFFFFF"/>
        </w:rPr>
        <w:t xml:space="preserve">l membro della Commissione che si trovi nella condizione soggettiva di una condanna non definitiva deve dichiarare la sua 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>posizione soggettiva</w:t>
      </w:r>
      <w:r w:rsidR="008334C4" w:rsidRPr="003B2F63">
        <w:rPr>
          <w:rFonts w:ascii="Verdana" w:hAnsi="Verdana"/>
          <w:sz w:val="20"/>
          <w:szCs w:val="20"/>
          <w:shd w:val="clear" w:color="auto" w:fill="FFFFFF"/>
        </w:rPr>
        <w:t xml:space="preserve"> di incompatibilità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 xml:space="preserve">, come previsto dal </w:t>
      </w:r>
      <w:r w:rsidRPr="003B2F63">
        <w:rPr>
          <w:rFonts w:ascii="Verdana" w:hAnsi="Verdana"/>
          <w:sz w:val="20"/>
          <w:szCs w:val="20"/>
          <w:shd w:val="clear" w:color="auto" w:fill="FFFFFF"/>
        </w:rPr>
        <w:lastRenderedPageBreak/>
        <w:t>comma 46</w:t>
      </w:r>
      <w:r w:rsidR="007E2634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>articolo 1</w:t>
      </w:r>
      <w:r w:rsidR="00E72FF9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="00CE5FC7">
        <w:rPr>
          <w:rFonts w:ascii="Verdana" w:hAnsi="Verdana"/>
          <w:sz w:val="20"/>
          <w:szCs w:val="20"/>
          <w:shd w:val="clear" w:color="auto" w:fill="FFFFFF"/>
        </w:rPr>
        <w:t>lettera c)</w:t>
      </w:r>
      <w:r w:rsidR="00E72FF9">
        <w:rPr>
          <w:rFonts w:ascii="Verdana" w:hAnsi="Verdana"/>
          <w:sz w:val="20"/>
          <w:szCs w:val="20"/>
          <w:shd w:val="clear" w:color="auto" w:fill="FFFFFF"/>
        </w:rPr>
        <w:t>,</w:t>
      </w:r>
      <w:r w:rsidR="00CE5FC7">
        <w:rPr>
          <w:rFonts w:ascii="Verdana" w:hAnsi="Verdana"/>
          <w:sz w:val="20"/>
          <w:szCs w:val="20"/>
          <w:shd w:val="clear" w:color="auto" w:fill="FFFFFF"/>
        </w:rPr>
        <w:t xml:space="preserve"> comma 1)</w:t>
      </w:r>
      <w:r w:rsidR="008334C4" w:rsidRPr="003B2F6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E72FF9">
        <w:rPr>
          <w:rFonts w:ascii="Verdana" w:hAnsi="Verdana"/>
          <w:sz w:val="20"/>
          <w:szCs w:val="20"/>
          <w:shd w:val="clear" w:color="auto" w:fill="FFFFFF"/>
        </w:rPr>
        <w:t>della L.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 xml:space="preserve">190/2012, </w:t>
      </w:r>
      <w:r w:rsidR="008334C4" w:rsidRPr="003B2F63">
        <w:rPr>
          <w:rFonts w:ascii="Verdana" w:hAnsi="Verdana"/>
          <w:sz w:val="20"/>
          <w:szCs w:val="20"/>
          <w:shd w:val="clear" w:color="auto" w:fill="FFFFFF"/>
        </w:rPr>
        <w:t>e conseguentemente</w:t>
      </w:r>
      <w:r w:rsidR="009437D7" w:rsidRPr="003B2F63">
        <w:rPr>
          <w:rFonts w:ascii="Verdana" w:hAnsi="Verdana"/>
          <w:sz w:val="20"/>
          <w:szCs w:val="20"/>
          <w:shd w:val="clear" w:color="auto" w:fill="FFFFFF"/>
        </w:rPr>
        <w:t xml:space="preserve"> deve  astenersi o rinunciare a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 xml:space="preserve"> ricoprire il ruolo di componente delle commissioni concorsuali e di gara</w:t>
      </w:r>
      <w:r w:rsidR="009437D7" w:rsidRPr="003B2F63">
        <w:rPr>
          <w:rFonts w:ascii="Verdana" w:hAnsi="Verdana"/>
          <w:sz w:val="20"/>
          <w:szCs w:val="20"/>
          <w:shd w:val="clear" w:color="auto" w:fill="FFFFFF"/>
        </w:rPr>
        <w:t xml:space="preserve">; tale presupposto vale a titolo di garanzia anche nei confronti di 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 xml:space="preserve"> un giudicato</w:t>
      </w:r>
      <w:r w:rsidR="009437D7" w:rsidRPr="003B2F6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 xml:space="preserve"> di “non doversi procedere per intervenuta prescrizione” </w:t>
      </w:r>
      <w:r w:rsidR="009437D7" w:rsidRPr="003B2F63">
        <w:rPr>
          <w:rFonts w:ascii="Verdana" w:hAnsi="Verdana"/>
          <w:sz w:val="20"/>
          <w:szCs w:val="20"/>
          <w:shd w:val="clear" w:color="auto" w:fill="FFFFFF"/>
        </w:rPr>
        <w:t>(ai s</w:t>
      </w:r>
      <w:r w:rsidR="00CE5FC7">
        <w:rPr>
          <w:rFonts w:ascii="Verdana" w:hAnsi="Verdana"/>
          <w:sz w:val="20"/>
          <w:szCs w:val="20"/>
          <w:shd w:val="clear" w:color="auto" w:fill="FFFFFF"/>
        </w:rPr>
        <w:t>ensi dell’art. 529 c.p.p.) per c</w:t>
      </w:r>
      <w:r w:rsidR="009437D7" w:rsidRPr="003B2F63">
        <w:rPr>
          <w:rFonts w:ascii="Verdana" w:hAnsi="Verdana"/>
          <w:sz w:val="20"/>
          <w:szCs w:val="20"/>
          <w:shd w:val="clear" w:color="auto" w:fill="FFFFFF"/>
        </w:rPr>
        <w:t>ui sia già stata sentenziata una condanna in un grado di giudizio.</w:t>
      </w:r>
    </w:p>
    <w:p w:rsidR="008334C4" w:rsidRPr="003B2F63" w:rsidRDefault="008334C4" w:rsidP="0005759E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B2F63">
        <w:rPr>
          <w:rFonts w:ascii="Verdana" w:hAnsi="Verdana"/>
          <w:sz w:val="20"/>
          <w:szCs w:val="20"/>
          <w:shd w:val="clear" w:color="auto" w:fill="FFFFFF"/>
        </w:rPr>
        <w:t>4.3</w:t>
      </w:r>
      <w:r w:rsidR="009437D7" w:rsidRPr="003B2F6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>La sussistenza di una situazione di vizi di conflittualità o di incompatibilità dei membri della commissione di gara, tale da imporre l’obbligo di astensione o di dimissione dal</w:t>
      </w:r>
      <w:r w:rsidR="00E72FF9">
        <w:rPr>
          <w:rFonts w:ascii="Verdana" w:hAnsi="Verdana"/>
          <w:sz w:val="20"/>
          <w:szCs w:val="20"/>
          <w:shd w:val="clear" w:color="auto" w:fill="FFFFFF"/>
        </w:rPr>
        <w:t xml:space="preserve"> ruolo, deve essere valutata ex-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>ante, in relazione agli effetti potenzialmente distorsivi che il so</w:t>
      </w:r>
      <w:r w:rsidR="00CE5FC7">
        <w:rPr>
          <w:rFonts w:ascii="Verdana" w:hAnsi="Verdana"/>
          <w:sz w:val="20"/>
          <w:szCs w:val="20"/>
          <w:shd w:val="clear" w:color="auto" w:fill="FFFFFF"/>
        </w:rPr>
        <w:t xml:space="preserve">spetto difetto di imparzialità sia 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 xml:space="preserve"> idoneo a determinare in relaz</w:t>
      </w:r>
      <w:r w:rsidR="00CE5FC7">
        <w:rPr>
          <w:rFonts w:ascii="Verdana" w:hAnsi="Verdana"/>
          <w:sz w:val="20"/>
          <w:szCs w:val="20"/>
          <w:shd w:val="clear" w:color="auto" w:fill="FFFFFF"/>
        </w:rPr>
        <w:t xml:space="preserve">ione alla situazione specifica e 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>alla sua portata soggettiva</w:t>
      </w:r>
      <w:r w:rsidR="00CE5FC7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8334C4" w:rsidRPr="003B2F63" w:rsidRDefault="008334C4" w:rsidP="008334C4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B2F63">
        <w:rPr>
          <w:rFonts w:ascii="Verdana" w:hAnsi="Verdana"/>
          <w:sz w:val="20"/>
          <w:szCs w:val="20"/>
          <w:shd w:val="clear" w:color="auto" w:fill="FFFFFF"/>
        </w:rPr>
        <w:t>4.</w:t>
      </w:r>
      <w:r w:rsidR="009437D7" w:rsidRPr="003B2F63">
        <w:rPr>
          <w:rFonts w:ascii="Verdana" w:hAnsi="Verdana"/>
          <w:sz w:val="20"/>
          <w:szCs w:val="20"/>
          <w:shd w:val="clear" w:color="auto" w:fill="FFFFFF"/>
        </w:rPr>
        <w:t xml:space="preserve">4 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>Qualora un membro della commissione prima della fase giudicante rilevi una situazione di potenziale conflitto tra la sua posizione di giudicante e il giudicato deve darne pronta segnalazione agli</w:t>
      </w:r>
      <w:r w:rsidR="00E72FF9">
        <w:rPr>
          <w:rFonts w:ascii="Verdana" w:hAnsi="Verdana"/>
          <w:sz w:val="20"/>
          <w:szCs w:val="20"/>
          <w:shd w:val="clear" w:color="auto" w:fill="FFFFFF"/>
        </w:rPr>
        <w:t xml:space="preserve"> altri membri della commissione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 xml:space="preserve"> che</w:t>
      </w:r>
      <w:r w:rsidR="00E72FF9">
        <w:rPr>
          <w:rFonts w:ascii="Verdana" w:hAnsi="Verdana"/>
          <w:sz w:val="20"/>
          <w:szCs w:val="20"/>
          <w:shd w:val="clear" w:color="auto" w:fill="FFFFFF"/>
        </w:rPr>
        <w:t>,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CE5FC7">
        <w:rPr>
          <w:rFonts w:ascii="Verdana" w:hAnsi="Verdana"/>
          <w:sz w:val="20"/>
          <w:szCs w:val="20"/>
          <w:shd w:val="clear" w:color="auto" w:fill="FFFFFF"/>
        </w:rPr>
        <w:t>valutando</w:t>
      </w:r>
      <w:r w:rsidR="009437D7" w:rsidRPr="003B2F63">
        <w:rPr>
          <w:rFonts w:ascii="Verdana" w:hAnsi="Verdana"/>
          <w:sz w:val="20"/>
          <w:szCs w:val="20"/>
          <w:shd w:val="clear" w:color="auto" w:fill="FFFFFF"/>
        </w:rPr>
        <w:t xml:space="preserve"> la sussistenza del vizio potenziale,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CE5FC7">
        <w:rPr>
          <w:rFonts w:ascii="Verdana" w:hAnsi="Verdana"/>
          <w:sz w:val="20"/>
          <w:szCs w:val="20"/>
          <w:shd w:val="clear" w:color="auto" w:fill="FFFFFF"/>
        </w:rPr>
        <w:t xml:space="preserve"> decideranno 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>se invalidare il procedimento di gara o concorso o provvedere alla sostituzione del membro della commissione</w:t>
      </w:r>
      <w:r w:rsidR="009437D7" w:rsidRPr="003B2F63">
        <w:rPr>
          <w:rFonts w:ascii="Verdana" w:hAnsi="Verdana"/>
          <w:sz w:val="20"/>
          <w:szCs w:val="20"/>
          <w:shd w:val="clear" w:color="auto" w:fill="FFFFFF"/>
        </w:rPr>
        <w:t>; di questi elementi deve essere data chiara evidenza nei verbali della commissione.</w:t>
      </w:r>
    </w:p>
    <w:p w:rsidR="009437D7" w:rsidRPr="003B2F63" w:rsidRDefault="009437D7" w:rsidP="009437D7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B2F63">
        <w:rPr>
          <w:rFonts w:ascii="Verdana" w:hAnsi="Verdana"/>
          <w:sz w:val="20"/>
          <w:szCs w:val="20"/>
          <w:shd w:val="clear" w:color="auto" w:fill="FFFFFF"/>
        </w:rPr>
        <w:t>4.5 Qualora un membro della commissione</w:t>
      </w:r>
      <w:r w:rsidR="00E72FF9">
        <w:rPr>
          <w:rFonts w:ascii="Verdana" w:hAnsi="Verdana"/>
          <w:sz w:val="20"/>
          <w:szCs w:val="20"/>
          <w:shd w:val="clear" w:color="auto" w:fill="FFFFFF"/>
        </w:rPr>
        <w:t>,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 xml:space="preserve"> prima della fase giudicante</w:t>
      </w:r>
      <w:r w:rsidR="00E72FF9">
        <w:rPr>
          <w:rFonts w:ascii="Verdana" w:hAnsi="Verdana"/>
          <w:sz w:val="20"/>
          <w:szCs w:val="20"/>
          <w:shd w:val="clear" w:color="auto" w:fill="FFFFFF"/>
        </w:rPr>
        <w:t>,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 xml:space="preserve"> rilevi una situazione di incompatibilità rispetto al suo ruolo deve darne pronta segnalazione agli altri membri della commissione, che valuteranno se invalidare il procedimento di gara o concorso o provvedere alla sostituzione del membro della commissione dichiarata incompatibile; di questi elementi deve essere data chiara evidenza nei verbali della commissione.</w:t>
      </w:r>
    </w:p>
    <w:p w:rsidR="009437D7" w:rsidRPr="003B2F63" w:rsidRDefault="009437D7" w:rsidP="009437D7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B2F63">
        <w:rPr>
          <w:rFonts w:ascii="Verdana" w:hAnsi="Verdana"/>
          <w:sz w:val="20"/>
          <w:szCs w:val="20"/>
          <w:shd w:val="clear" w:color="auto" w:fill="FFFFFF"/>
        </w:rPr>
        <w:t xml:space="preserve">4.6 Tutte le verbalizzazioni che dichiarano situazioni anche potenziali di vizio di conflittualità o incompatibilità devono essere prontamente segnalate dal presidente della </w:t>
      </w:r>
      <w:r w:rsidR="00E72FF9">
        <w:rPr>
          <w:rFonts w:ascii="Verdana" w:hAnsi="Verdana"/>
          <w:sz w:val="20"/>
          <w:szCs w:val="20"/>
          <w:shd w:val="clear" w:color="auto" w:fill="FFFFFF"/>
        </w:rPr>
        <w:t xml:space="preserve">commissione al Responsabile della Prevenzione della Corruzione </w:t>
      </w:r>
      <w:r w:rsidR="00AD262F" w:rsidRPr="003B2F63">
        <w:rPr>
          <w:rFonts w:ascii="Verdana" w:hAnsi="Verdana"/>
          <w:sz w:val="20"/>
          <w:szCs w:val="20"/>
          <w:shd w:val="clear" w:color="auto" w:fill="FFFFFF"/>
        </w:rPr>
        <w:t xml:space="preserve">e ai </w:t>
      </w:r>
      <w:r w:rsidR="00E72FF9">
        <w:rPr>
          <w:rFonts w:ascii="Verdana" w:hAnsi="Verdana"/>
          <w:sz w:val="20"/>
          <w:szCs w:val="20"/>
          <w:shd w:val="clear" w:color="auto" w:fill="FFFFFF"/>
        </w:rPr>
        <w:t>comp</w:t>
      </w:r>
      <w:r w:rsidR="000A1361">
        <w:rPr>
          <w:rFonts w:ascii="Verdana" w:hAnsi="Verdana"/>
          <w:sz w:val="20"/>
          <w:szCs w:val="20"/>
          <w:shd w:val="clear" w:color="auto" w:fill="FFFFFF"/>
        </w:rPr>
        <w:t>onenti l’Organismo di Vigilanza.</w:t>
      </w:r>
    </w:p>
    <w:p w:rsidR="001D0BC7" w:rsidRPr="009437D7" w:rsidRDefault="001D0BC7" w:rsidP="00DB4AAD">
      <w:pPr>
        <w:rPr>
          <w:rFonts w:ascii="Verdana" w:hAnsi="Verdana"/>
          <w:sz w:val="20"/>
          <w:szCs w:val="20"/>
          <w:highlight w:val="cyan"/>
        </w:rPr>
      </w:pPr>
    </w:p>
    <w:p w:rsidR="00AD262F" w:rsidRDefault="00AD262F" w:rsidP="00AD262F">
      <w:pPr>
        <w:jc w:val="both"/>
        <w:rPr>
          <w:rFonts w:ascii="Verdana" w:hAnsi="Verdana"/>
          <w:b/>
          <w:sz w:val="20"/>
          <w:szCs w:val="20"/>
        </w:rPr>
      </w:pPr>
      <w:r w:rsidRPr="00AD262F">
        <w:rPr>
          <w:rFonts w:ascii="Verdana" w:hAnsi="Verdana"/>
          <w:b/>
          <w:sz w:val="20"/>
          <w:szCs w:val="20"/>
        </w:rPr>
        <w:t>5.LIMITAZIONE LIBERTÀ NEGOZIALE</w:t>
      </w:r>
    </w:p>
    <w:p w:rsidR="00AD262F" w:rsidRDefault="003B2F63" w:rsidP="003B2F63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color w:val="303F50"/>
          <w:sz w:val="20"/>
          <w:szCs w:val="20"/>
          <w:shd w:val="clear" w:color="auto" w:fill="FFFFFF"/>
        </w:rPr>
        <w:t>5</w:t>
      </w:r>
      <w:r w:rsidR="007E2634">
        <w:rPr>
          <w:rFonts w:ascii="Verdana" w:hAnsi="Verdana"/>
          <w:sz w:val="20"/>
          <w:szCs w:val="20"/>
          <w:shd w:val="clear" w:color="auto" w:fill="FFFFFF"/>
        </w:rPr>
        <w:t>.1 L'art.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>53</w:t>
      </w:r>
      <w:r w:rsidR="007E2634">
        <w:rPr>
          <w:rFonts w:ascii="Verdana" w:hAnsi="Verdana"/>
          <w:sz w:val="20"/>
          <w:szCs w:val="20"/>
          <w:shd w:val="clear" w:color="auto" w:fill="FFFFFF"/>
        </w:rPr>
        <w:t>, c.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>16 ter</w:t>
      </w:r>
      <w:r w:rsidR="007E2634">
        <w:rPr>
          <w:rFonts w:ascii="Verdana" w:hAnsi="Verdana"/>
          <w:sz w:val="20"/>
          <w:szCs w:val="20"/>
          <w:shd w:val="clear" w:color="auto" w:fill="FFFFFF"/>
        </w:rPr>
        <w:t>,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 xml:space="preserve"> D.Lgs</w:t>
      </w:r>
      <w:r w:rsidR="00474694">
        <w:rPr>
          <w:rFonts w:ascii="Verdana" w:hAnsi="Verdana"/>
          <w:sz w:val="20"/>
          <w:szCs w:val="20"/>
          <w:shd w:val="clear" w:color="auto" w:fill="FFFFFF"/>
        </w:rPr>
        <w:t>.</w:t>
      </w:r>
      <w:r w:rsidR="007E2634">
        <w:rPr>
          <w:rFonts w:ascii="Verdana" w:hAnsi="Verdana"/>
          <w:sz w:val="20"/>
          <w:szCs w:val="20"/>
          <w:shd w:val="clear" w:color="auto" w:fill="FFFFFF"/>
        </w:rPr>
        <w:t>, 165/2001, introdotto dalla L.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>190/2012, sancisce che "I dipendenti che, negli ultimi tre anni di servizio, hanno esercitato poteri a</w:t>
      </w:r>
      <w:r w:rsidR="00716BEC">
        <w:rPr>
          <w:rFonts w:ascii="Verdana" w:hAnsi="Verdana"/>
          <w:sz w:val="20"/>
          <w:szCs w:val="20"/>
          <w:shd w:val="clear" w:color="auto" w:fill="FFFFFF"/>
        </w:rPr>
        <w:t>utoritativi o negoziali per cont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>o delle pubbliche amministrazioni di cui all'articolo l, comma 2</w:t>
      </w:r>
      <w:r w:rsidR="00716BEC">
        <w:rPr>
          <w:rStyle w:val="Rimandonotaapidipagina"/>
          <w:rFonts w:ascii="Verdana" w:hAnsi="Verdana"/>
          <w:sz w:val="20"/>
          <w:szCs w:val="20"/>
          <w:shd w:val="clear" w:color="auto" w:fill="FFFFFF"/>
        </w:rPr>
        <w:footnoteReference w:id="1"/>
      </w:r>
      <w:r w:rsidRPr="003B2F63">
        <w:rPr>
          <w:rFonts w:ascii="Verdana" w:hAnsi="Verdana"/>
          <w:sz w:val="20"/>
          <w:szCs w:val="20"/>
          <w:shd w:val="clear" w:color="auto" w:fill="FFFFFF"/>
        </w:rPr>
        <w:t>, non possono svolger</w:t>
      </w:r>
      <w:r w:rsidR="00504BBC">
        <w:rPr>
          <w:rFonts w:ascii="Verdana" w:hAnsi="Verdana"/>
          <w:sz w:val="20"/>
          <w:szCs w:val="20"/>
          <w:shd w:val="clear" w:color="auto" w:fill="FFFFFF"/>
        </w:rPr>
        <w:t>e, nei tre anni successivi all</w:t>
      </w:r>
      <w:r w:rsidRPr="003B2F63">
        <w:rPr>
          <w:rFonts w:ascii="Verdana" w:hAnsi="Verdana"/>
          <w:sz w:val="20"/>
          <w:szCs w:val="20"/>
          <w:shd w:val="clear" w:color="auto" w:fill="FFFFFF"/>
        </w:rPr>
        <w:t>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riferiti".</w:t>
      </w:r>
    </w:p>
    <w:p w:rsidR="00716BEC" w:rsidRDefault="00716BEC" w:rsidP="00716B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lastRenderedPageBreak/>
        <w:t xml:space="preserve">5.2 </w:t>
      </w:r>
      <w:r w:rsidRPr="00716BEC">
        <w:rPr>
          <w:rFonts w:ascii="Verdana" w:hAnsi="Verdana"/>
          <w:sz w:val="20"/>
          <w:szCs w:val="20"/>
          <w:shd w:val="clear" w:color="auto" w:fill="FFFFFF"/>
        </w:rPr>
        <w:t xml:space="preserve">Il rischio che la norma intende scongiurare è che durante il periodo di servizio il dipendente possa artatamente precostituirsi delle situazioni lavorative vantaggiose e così sfruttare a proprio fine la sua posizione e il suo potere </w:t>
      </w:r>
      <w:r w:rsidR="00350316">
        <w:rPr>
          <w:rFonts w:ascii="Verdana" w:hAnsi="Verdana"/>
          <w:sz w:val="20"/>
          <w:szCs w:val="20"/>
          <w:shd w:val="clear" w:color="auto" w:fill="FFFFFF"/>
        </w:rPr>
        <w:t>all'interno dell’</w:t>
      </w:r>
      <w:r w:rsidR="000A1361">
        <w:rPr>
          <w:rFonts w:ascii="Verdana" w:hAnsi="Verdana"/>
          <w:sz w:val="20"/>
          <w:szCs w:val="20"/>
          <w:shd w:val="clear" w:color="auto" w:fill="FFFFFF"/>
        </w:rPr>
        <w:t xml:space="preserve">AZIENDA </w:t>
      </w:r>
      <w:r w:rsidR="0077415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633E5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716BEC">
        <w:rPr>
          <w:rFonts w:ascii="Verdana" w:hAnsi="Verdana"/>
          <w:sz w:val="20"/>
          <w:szCs w:val="20"/>
          <w:shd w:val="clear" w:color="auto" w:fill="FFFFFF"/>
        </w:rPr>
        <w:t xml:space="preserve"> per ottenere un lavoro per lui attraente presso l'impresa o il soggetto privato con cui entra in contatto. La disposizione prevede quindi una limitazione della libertà negoziale del dipendente per un periodo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di tre anni</w:t>
      </w:r>
      <w:r w:rsidRPr="00716BEC">
        <w:rPr>
          <w:rFonts w:ascii="Verdana" w:hAnsi="Verdana"/>
          <w:sz w:val="20"/>
          <w:szCs w:val="20"/>
          <w:shd w:val="clear" w:color="auto" w:fill="FFFFFF"/>
        </w:rPr>
        <w:t xml:space="preserve"> successivo alla cessazione del rapporto per eliminare la "convenienza" di accordi fraudolenti.</w:t>
      </w:r>
    </w:p>
    <w:p w:rsidR="00716BEC" w:rsidRDefault="00716BEC" w:rsidP="00716B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5.3 Stante la natura prettamente</w:t>
      </w:r>
      <w:r w:rsidR="000A136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0A1361">
        <w:rPr>
          <w:rFonts w:ascii="Verdana" w:hAnsi="Verdana"/>
          <w:sz w:val="20"/>
          <w:szCs w:val="20"/>
          <w:shd w:val="clear" w:color="auto" w:fill="FFFFFF"/>
        </w:rPr>
        <w:t>pubblicA</w:t>
      </w:r>
      <w:proofErr w:type="spellEnd"/>
      <w:r w:rsidR="00492D31">
        <w:rPr>
          <w:rFonts w:ascii="Verdana" w:hAnsi="Verdana"/>
          <w:sz w:val="20"/>
          <w:szCs w:val="20"/>
          <w:shd w:val="clear" w:color="auto" w:fill="FFFFFF"/>
        </w:rPr>
        <w:t xml:space="preserve"> dell’</w:t>
      </w:r>
      <w:r w:rsidR="000A1361">
        <w:rPr>
          <w:rFonts w:ascii="Verdana" w:hAnsi="Verdana"/>
          <w:sz w:val="20"/>
          <w:szCs w:val="20"/>
          <w:shd w:val="clear" w:color="auto" w:fill="FFFFFF"/>
        </w:rPr>
        <w:t>AZIENDA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la stessa ha inteso estendere tale requisito anche ai propri dipendenti ma con la sola limitazione </w:t>
      </w:r>
      <w:r w:rsidRPr="00716BEC">
        <w:rPr>
          <w:rFonts w:ascii="Verdana" w:hAnsi="Verdana"/>
          <w:sz w:val="20"/>
          <w:szCs w:val="20"/>
          <w:shd w:val="clear" w:color="auto" w:fill="FFFFFF"/>
        </w:rPr>
        <w:t>ai dirigenti ed al personale tecnico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716BEC">
        <w:rPr>
          <w:rFonts w:ascii="Verdana" w:hAnsi="Verdana"/>
          <w:sz w:val="20"/>
          <w:szCs w:val="20"/>
          <w:shd w:val="clear" w:color="auto" w:fill="FFFFFF"/>
        </w:rPr>
        <w:t xml:space="preserve">amministrativo che </w:t>
      </w:r>
      <w:r>
        <w:rPr>
          <w:rFonts w:ascii="Verdana" w:hAnsi="Verdana"/>
          <w:sz w:val="20"/>
          <w:szCs w:val="20"/>
          <w:shd w:val="clear" w:color="auto" w:fill="FFFFFF"/>
        </w:rPr>
        <w:t>ha</w:t>
      </w:r>
      <w:r w:rsidRPr="00716BEC">
        <w:rPr>
          <w:rFonts w:ascii="Verdana" w:hAnsi="Verdana"/>
          <w:sz w:val="20"/>
          <w:szCs w:val="20"/>
          <w:shd w:val="clear" w:color="auto" w:fill="FFFFFF"/>
        </w:rPr>
        <w:t xml:space="preserve"> esercitato poteri autoritativi 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716BEC">
        <w:rPr>
          <w:rFonts w:ascii="Verdana" w:hAnsi="Verdana"/>
          <w:sz w:val="20"/>
          <w:szCs w:val="20"/>
          <w:shd w:val="clear" w:color="auto" w:fill="FFFFFF"/>
        </w:rPr>
        <w:t>negozial</w:t>
      </w:r>
      <w:r w:rsidR="00633E5E">
        <w:rPr>
          <w:rFonts w:ascii="Verdana" w:hAnsi="Verdana"/>
          <w:sz w:val="20"/>
          <w:szCs w:val="20"/>
          <w:shd w:val="clear" w:color="auto" w:fill="FFFFFF"/>
        </w:rPr>
        <w:t xml:space="preserve">i </w:t>
      </w:r>
      <w:r w:rsidRPr="00716BEC">
        <w:rPr>
          <w:rFonts w:ascii="Verdana" w:hAnsi="Verdana"/>
          <w:sz w:val="20"/>
          <w:szCs w:val="20"/>
          <w:shd w:val="clear" w:color="auto" w:fill="FFFFFF"/>
        </w:rPr>
        <w:t xml:space="preserve">per conto di </w:t>
      </w:r>
      <w:r w:rsidR="000A1361">
        <w:rPr>
          <w:rFonts w:ascii="Verdana" w:hAnsi="Verdana"/>
          <w:sz w:val="20"/>
          <w:szCs w:val="20"/>
          <w:shd w:val="clear" w:color="auto" w:fill="FFFFFF"/>
        </w:rPr>
        <w:t xml:space="preserve">ASP </w:t>
      </w:r>
      <w:r w:rsidRPr="00716BEC">
        <w:rPr>
          <w:rFonts w:ascii="Verdana" w:hAnsi="Verdana"/>
          <w:sz w:val="20"/>
          <w:szCs w:val="20"/>
          <w:shd w:val="clear" w:color="auto" w:fill="FFFFFF"/>
        </w:rPr>
        <w:t>nel contrar</w:t>
      </w:r>
      <w:r>
        <w:rPr>
          <w:rFonts w:ascii="Verdana" w:hAnsi="Verdana"/>
          <w:sz w:val="20"/>
          <w:szCs w:val="20"/>
          <w:shd w:val="clear" w:color="auto" w:fill="FFFFFF"/>
        </w:rPr>
        <w:t>r</w:t>
      </w:r>
      <w:r w:rsidRPr="00716BEC">
        <w:rPr>
          <w:rFonts w:ascii="Verdana" w:hAnsi="Verdana"/>
          <w:sz w:val="20"/>
          <w:szCs w:val="20"/>
          <w:shd w:val="clear" w:color="auto" w:fill="FFFFFF"/>
        </w:rPr>
        <w:t>e con fornitore  o appaltatore</w:t>
      </w:r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F44E63" w:rsidRPr="001D26CB" w:rsidRDefault="00633E5E" w:rsidP="001D26CB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5.4 Alla luce delle premesse suindicate a</w:t>
      </w:r>
      <w:r w:rsidR="00716BEC" w:rsidRPr="00633E5E">
        <w:rPr>
          <w:rFonts w:ascii="Verdana" w:hAnsi="Verdana"/>
          <w:sz w:val="20"/>
          <w:szCs w:val="20"/>
          <w:shd w:val="clear" w:color="auto" w:fill="FFFFFF"/>
        </w:rPr>
        <w:t xml:space="preserve">i </w:t>
      </w:r>
      <w:r w:rsidR="00716BEC" w:rsidRPr="00716BEC">
        <w:rPr>
          <w:rFonts w:ascii="Verdana" w:hAnsi="Verdana"/>
          <w:sz w:val="20"/>
          <w:szCs w:val="20"/>
          <w:shd w:val="clear" w:color="auto" w:fill="FFFFFF"/>
        </w:rPr>
        <w:t>dirigenti ed al personale tecnico</w:t>
      </w:r>
      <w:r w:rsidR="00716BEC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16BEC" w:rsidRPr="00716BEC">
        <w:rPr>
          <w:rFonts w:ascii="Verdana" w:hAnsi="Verdana"/>
          <w:sz w:val="20"/>
          <w:szCs w:val="20"/>
          <w:shd w:val="clear" w:color="auto" w:fill="FFFFFF"/>
        </w:rPr>
        <w:t>amministrativo</w:t>
      </w:r>
      <w:r w:rsidR="00716BEC" w:rsidRPr="00633E5E">
        <w:rPr>
          <w:rFonts w:ascii="Verdana" w:hAnsi="Verdana"/>
          <w:sz w:val="20"/>
          <w:szCs w:val="20"/>
          <w:shd w:val="clear" w:color="auto" w:fill="FFFFFF"/>
        </w:rPr>
        <w:t>,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è fatto divieto, </w:t>
      </w:r>
      <w:r w:rsidRPr="00633E5E">
        <w:rPr>
          <w:rFonts w:ascii="Verdana" w:hAnsi="Verdana"/>
          <w:sz w:val="20"/>
          <w:szCs w:val="20"/>
          <w:shd w:val="clear" w:color="auto" w:fill="FFFFFF"/>
        </w:rPr>
        <w:t>per i tre anni successivi alla cessazion</w:t>
      </w:r>
      <w:r w:rsidR="000A1361">
        <w:rPr>
          <w:rFonts w:ascii="Verdana" w:hAnsi="Verdana"/>
          <w:sz w:val="20"/>
          <w:szCs w:val="20"/>
          <w:shd w:val="clear" w:color="auto" w:fill="FFFFFF"/>
        </w:rPr>
        <w:t>e del rapporto di impiego con l'</w:t>
      </w:r>
      <w:r w:rsidRPr="00633E5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0A1361">
        <w:rPr>
          <w:rFonts w:ascii="Verdana" w:hAnsi="Verdana"/>
          <w:sz w:val="20"/>
          <w:szCs w:val="20"/>
          <w:shd w:val="clear" w:color="auto" w:fill="FFFFFF"/>
        </w:rPr>
        <w:t xml:space="preserve">AZIENDA </w:t>
      </w:r>
      <w:r w:rsidR="0077415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633E5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di </w:t>
      </w:r>
      <w:r w:rsidR="00716BEC" w:rsidRPr="00633E5E">
        <w:rPr>
          <w:rFonts w:ascii="Verdana" w:hAnsi="Verdana"/>
          <w:sz w:val="20"/>
          <w:szCs w:val="20"/>
          <w:shd w:val="clear" w:color="auto" w:fill="FFFFFF"/>
        </w:rPr>
        <w:t>instaurare alcun rapporto di lavoro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16BEC" w:rsidRPr="00633E5E">
        <w:rPr>
          <w:rFonts w:ascii="Verdana" w:hAnsi="Verdana"/>
          <w:sz w:val="20"/>
          <w:szCs w:val="20"/>
          <w:shd w:val="clear" w:color="auto" w:fill="FFFFFF"/>
        </w:rPr>
        <w:t>autonomo o subordinato con i soggetti privati che sono stati destinatari di provvedimenti, contratti 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16BEC" w:rsidRPr="00633E5E">
        <w:rPr>
          <w:rFonts w:ascii="Verdana" w:hAnsi="Verdana"/>
          <w:sz w:val="20"/>
          <w:szCs w:val="20"/>
          <w:shd w:val="clear" w:color="auto" w:fill="FFFFFF"/>
        </w:rPr>
        <w:t>accordi adottati nell'esercizio della potestà o del potere negozia</w:t>
      </w:r>
      <w:r>
        <w:rPr>
          <w:rFonts w:ascii="Verdana" w:hAnsi="Verdana"/>
          <w:sz w:val="20"/>
          <w:szCs w:val="20"/>
          <w:shd w:val="clear" w:color="auto" w:fill="FFFFFF"/>
        </w:rPr>
        <w:t>li</w:t>
      </w:r>
      <w:r w:rsidR="00716BEC" w:rsidRPr="00633E5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>di cui essi erano titolari</w:t>
      </w:r>
      <w:r w:rsidR="00610FE9">
        <w:rPr>
          <w:rFonts w:ascii="Verdana" w:hAnsi="Verdana"/>
          <w:sz w:val="20"/>
          <w:szCs w:val="20"/>
          <w:shd w:val="clear" w:color="auto" w:fill="FFFFFF"/>
        </w:rPr>
        <w:t xml:space="preserve"> o responsabili</w:t>
      </w:r>
      <w:r w:rsidRPr="001D26C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D9257A" w:rsidRDefault="004E3570" w:rsidP="00FD7838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5.5</w:t>
      </w:r>
      <w:r w:rsidR="00D9257A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633E5E" w:rsidRPr="00633E5E">
        <w:rPr>
          <w:rFonts w:ascii="Verdana" w:hAnsi="Verdana"/>
          <w:sz w:val="20"/>
          <w:szCs w:val="20"/>
          <w:shd w:val="clear" w:color="auto" w:fill="FFFFFF"/>
        </w:rPr>
        <w:t>Ai sensi dell'art. I, c. 43</w:t>
      </w:r>
      <w:r w:rsidR="007E2634">
        <w:rPr>
          <w:rFonts w:ascii="Verdana" w:hAnsi="Verdana"/>
          <w:sz w:val="20"/>
          <w:szCs w:val="20"/>
          <w:shd w:val="clear" w:color="auto" w:fill="FFFFFF"/>
        </w:rPr>
        <w:t>, L.</w:t>
      </w:r>
      <w:r w:rsidR="00633E5E" w:rsidRPr="00633E5E">
        <w:rPr>
          <w:rFonts w:ascii="Verdana" w:hAnsi="Verdana"/>
          <w:sz w:val="20"/>
          <w:szCs w:val="20"/>
          <w:shd w:val="clear" w:color="auto" w:fill="FFFFFF"/>
        </w:rPr>
        <w:t>190/2012, tali sanzioni non si applicano ai contratti stipulati e agli incarichi</w:t>
      </w:r>
      <w:r w:rsidR="00D9257A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633E5E" w:rsidRPr="00D9257A">
        <w:rPr>
          <w:rFonts w:ascii="Verdana" w:hAnsi="Verdana"/>
          <w:sz w:val="20"/>
          <w:szCs w:val="20"/>
          <w:shd w:val="clear" w:color="auto" w:fill="FFFFFF"/>
        </w:rPr>
        <w:t xml:space="preserve">conferiti prima </w:t>
      </w:r>
      <w:r w:rsidR="007E2634">
        <w:rPr>
          <w:rFonts w:ascii="Verdana" w:hAnsi="Verdana"/>
          <w:sz w:val="20"/>
          <w:szCs w:val="20"/>
          <w:shd w:val="clear" w:color="auto" w:fill="FFFFFF"/>
        </w:rPr>
        <w:t>dell'entrata in vigore della L.</w:t>
      </w:r>
      <w:r w:rsidR="00633E5E" w:rsidRPr="00D9257A">
        <w:rPr>
          <w:rFonts w:ascii="Verdana" w:hAnsi="Verdana"/>
          <w:sz w:val="20"/>
          <w:szCs w:val="20"/>
          <w:shd w:val="clear" w:color="auto" w:fill="FFFFFF"/>
        </w:rPr>
        <w:t>190/2012 (28 novembre 2012).</w:t>
      </w:r>
    </w:p>
    <w:p w:rsidR="00831999" w:rsidRDefault="00831999" w:rsidP="00FD7838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tblLook w:val="04A0"/>
      </w:tblPr>
      <w:tblGrid>
        <w:gridCol w:w="4219"/>
        <w:gridCol w:w="5559"/>
      </w:tblGrid>
      <w:tr w:rsidR="00CD3BCF" w:rsidRPr="00734570" w:rsidTr="000A1361">
        <w:tc>
          <w:tcPr>
            <w:tcW w:w="4219" w:type="dxa"/>
          </w:tcPr>
          <w:p w:rsidR="00CD3BCF" w:rsidRPr="00734570" w:rsidRDefault="00CD3BCF" w:rsidP="00FD7838">
            <w:pPr>
              <w:jc w:val="both"/>
              <w:rPr>
                <w:rFonts w:ascii="Verdana" w:hAnsi="Verdana"/>
                <w:shd w:val="clear" w:color="auto" w:fill="FFFFFF"/>
              </w:rPr>
            </w:pPr>
            <w:r w:rsidRPr="00734570">
              <w:rPr>
                <w:rFonts w:ascii="Verdana" w:hAnsi="Verdana"/>
                <w:shd w:val="clear" w:color="auto" w:fill="FFFFFF"/>
              </w:rPr>
              <w:t>Nome e Cognome de</w:t>
            </w:r>
            <w:bookmarkStart w:id="0" w:name="_GoBack"/>
            <w:bookmarkEnd w:id="0"/>
            <w:r w:rsidRPr="00734570">
              <w:rPr>
                <w:rFonts w:ascii="Verdana" w:hAnsi="Verdana"/>
                <w:shd w:val="clear" w:color="auto" w:fill="FFFFFF"/>
              </w:rPr>
              <w:t>l sottoscrivente</w:t>
            </w:r>
          </w:p>
          <w:p w:rsidR="00CD3BCF" w:rsidRPr="00734570" w:rsidRDefault="00CD3BCF" w:rsidP="00FD7838">
            <w:pPr>
              <w:jc w:val="both"/>
              <w:rPr>
                <w:rFonts w:ascii="Verdana" w:hAnsi="Verdana"/>
                <w:shd w:val="clear" w:color="auto" w:fill="FFFFFF"/>
              </w:rPr>
            </w:pPr>
          </w:p>
          <w:p w:rsidR="00CD3BCF" w:rsidRPr="00734570" w:rsidRDefault="00CD3BCF" w:rsidP="00FD7838">
            <w:pPr>
              <w:jc w:val="both"/>
              <w:rPr>
                <w:rFonts w:ascii="Verdana" w:hAnsi="Verdana"/>
                <w:shd w:val="clear" w:color="auto" w:fill="FFFFFF"/>
              </w:rPr>
            </w:pPr>
          </w:p>
        </w:tc>
        <w:tc>
          <w:tcPr>
            <w:tcW w:w="5559" w:type="dxa"/>
          </w:tcPr>
          <w:p w:rsidR="00CD3BCF" w:rsidRPr="00734570" w:rsidRDefault="00CD3BCF" w:rsidP="00FD7838">
            <w:pPr>
              <w:jc w:val="both"/>
              <w:rPr>
                <w:rFonts w:ascii="Verdana" w:hAnsi="Verdana"/>
                <w:shd w:val="clear" w:color="auto" w:fill="FFFFFF"/>
              </w:rPr>
            </w:pPr>
          </w:p>
        </w:tc>
      </w:tr>
      <w:tr w:rsidR="00CD3BCF" w:rsidRPr="00734570" w:rsidTr="000A1361">
        <w:tc>
          <w:tcPr>
            <w:tcW w:w="4219" w:type="dxa"/>
          </w:tcPr>
          <w:p w:rsidR="00CD3BCF" w:rsidRPr="00734570" w:rsidRDefault="00CD3BCF" w:rsidP="00FD7838">
            <w:pPr>
              <w:jc w:val="both"/>
              <w:rPr>
                <w:rFonts w:ascii="Verdana" w:hAnsi="Verdana"/>
                <w:shd w:val="clear" w:color="auto" w:fill="FFFFFF"/>
              </w:rPr>
            </w:pPr>
            <w:r w:rsidRPr="00734570">
              <w:rPr>
                <w:rFonts w:ascii="Verdana" w:hAnsi="Verdana"/>
                <w:shd w:val="clear" w:color="auto" w:fill="FFFFFF"/>
              </w:rPr>
              <w:t>Ruolo</w:t>
            </w:r>
          </w:p>
          <w:p w:rsidR="00CD3BCF" w:rsidRPr="00734570" w:rsidRDefault="00CD3BCF" w:rsidP="00FD7838">
            <w:pPr>
              <w:jc w:val="both"/>
              <w:rPr>
                <w:rFonts w:ascii="Verdana" w:hAnsi="Verdana"/>
                <w:shd w:val="clear" w:color="auto" w:fill="FFFFFF"/>
              </w:rPr>
            </w:pPr>
          </w:p>
          <w:p w:rsidR="00CD3BCF" w:rsidRPr="00734570" w:rsidRDefault="00CD3BCF" w:rsidP="00FD7838">
            <w:pPr>
              <w:jc w:val="both"/>
              <w:rPr>
                <w:rFonts w:ascii="Verdana" w:hAnsi="Verdana"/>
                <w:shd w:val="clear" w:color="auto" w:fill="FFFFFF"/>
              </w:rPr>
            </w:pPr>
          </w:p>
        </w:tc>
        <w:tc>
          <w:tcPr>
            <w:tcW w:w="5559" w:type="dxa"/>
          </w:tcPr>
          <w:p w:rsidR="00CD3BCF" w:rsidRPr="00734570" w:rsidRDefault="00CD3BCF" w:rsidP="00FD7838">
            <w:pPr>
              <w:jc w:val="both"/>
              <w:rPr>
                <w:rFonts w:ascii="Verdana" w:hAnsi="Verdana"/>
                <w:shd w:val="clear" w:color="auto" w:fill="FFFFFF"/>
              </w:rPr>
            </w:pPr>
          </w:p>
        </w:tc>
      </w:tr>
      <w:tr w:rsidR="00CD3BCF" w:rsidRPr="00734570" w:rsidTr="000A1361">
        <w:tc>
          <w:tcPr>
            <w:tcW w:w="4219" w:type="dxa"/>
          </w:tcPr>
          <w:p w:rsidR="00CD3BCF" w:rsidRPr="00734570" w:rsidRDefault="00CD3BCF" w:rsidP="00FD7838">
            <w:pPr>
              <w:jc w:val="both"/>
              <w:rPr>
                <w:rFonts w:ascii="Verdana" w:hAnsi="Verdana"/>
                <w:shd w:val="clear" w:color="auto" w:fill="FFFFFF"/>
              </w:rPr>
            </w:pPr>
            <w:r w:rsidRPr="00734570">
              <w:rPr>
                <w:rFonts w:ascii="Verdana" w:hAnsi="Verdana"/>
                <w:shd w:val="clear" w:color="auto" w:fill="FFFFFF"/>
              </w:rPr>
              <w:t>Data</w:t>
            </w:r>
          </w:p>
          <w:p w:rsidR="00CD3BCF" w:rsidRPr="00734570" w:rsidRDefault="00CD3BCF" w:rsidP="00FD7838">
            <w:pPr>
              <w:jc w:val="both"/>
              <w:rPr>
                <w:rFonts w:ascii="Verdana" w:hAnsi="Verdana"/>
                <w:shd w:val="clear" w:color="auto" w:fill="FFFFFF"/>
              </w:rPr>
            </w:pPr>
          </w:p>
          <w:p w:rsidR="00CD3BCF" w:rsidRPr="00734570" w:rsidRDefault="00CD3BCF" w:rsidP="00FD7838">
            <w:pPr>
              <w:jc w:val="both"/>
              <w:rPr>
                <w:rFonts w:ascii="Verdana" w:hAnsi="Verdana"/>
                <w:shd w:val="clear" w:color="auto" w:fill="FFFFFF"/>
              </w:rPr>
            </w:pPr>
          </w:p>
        </w:tc>
        <w:tc>
          <w:tcPr>
            <w:tcW w:w="5559" w:type="dxa"/>
          </w:tcPr>
          <w:p w:rsidR="00CD3BCF" w:rsidRPr="00734570" w:rsidRDefault="00CD3BCF" w:rsidP="00FD7838">
            <w:pPr>
              <w:jc w:val="both"/>
              <w:rPr>
                <w:rFonts w:ascii="Verdana" w:hAnsi="Verdana"/>
                <w:shd w:val="clear" w:color="auto" w:fill="FFFFFF"/>
              </w:rPr>
            </w:pPr>
          </w:p>
        </w:tc>
      </w:tr>
      <w:tr w:rsidR="00CD3BCF" w:rsidRPr="00734570" w:rsidTr="000A1361">
        <w:tc>
          <w:tcPr>
            <w:tcW w:w="4219" w:type="dxa"/>
          </w:tcPr>
          <w:p w:rsidR="00CD3BCF" w:rsidRPr="00734570" w:rsidRDefault="00CD3BCF" w:rsidP="00FD7838">
            <w:pPr>
              <w:jc w:val="both"/>
              <w:rPr>
                <w:rFonts w:ascii="Verdana" w:hAnsi="Verdana"/>
                <w:shd w:val="clear" w:color="auto" w:fill="FFFFFF"/>
              </w:rPr>
            </w:pPr>
            <w:r w:rsidRPr="00734570">
              <w:rPr>
                <w:rFonts w:ascii="Verdana" w:hAnsi="Verdana"/>
                <w:shd w:val="clear" w:color="auto" w:fill="FFFFFF"/>
              </w:rPr>
              <w:t>Firma per sottoscrizione</w:t>
            </w:r>
          </w:p>
          <w:p w:rsidR="00CD3BCF" w:rsidRPr="00734570" w:rsidRDefault="00CD3BCF" w:rsidP="00FD7838">
            <w:pPr>
              <w:jc w:val="both"/>
              <w:rPr>
                <w:rFonts w:ascii="Verdana" w:hAnsi="Verdana"/>
                <w:shd w:val="clear" w:color="auto" w:fill="FFFFFF"/>
              </w:rPr>
            </w:pPr>
          </w:p>
          <w:p w:rsidR="00CD3BCF" w:rsidRPr="00734570" w:rsidRDefault="00CD3BCF" w:rsidP="00FD7838">
            <w:pPr>
              <w:jc w:val="both"/>
              <w:rPr>
                <w:rFonts w:ascii="Verdana" w:hAnsi="Verdana"/>
                <w:shd w:val="clear" w:color="auto" w:fill="FFFFFF"/>
              </w:rPr>
            </w:pPr>
          </w:p>
        </w:tc>
        <w:tc>
          <w:tcPr>
            <w:tcW w:w="5559" w:type="dxa"/>
          </w:tcPr>
          <w:p w:rsidR="00CD3BCF" w:rsidRPr="00734570" w:rsidRDefault="00CD3BCF" w:rsidP="00FD7838">
            <w:pPr>
              <w:jc w:val="both"/>
              <w:rPr>
                <w:rFonts w:ascii="Verdana" w:hAnsi="Verdana"/>
                <w:shd w:val="clear" w:color="auto" w:fill="FFFFFF"/>
              </w:rPr>
            </w:pPr>
          </w:p>
        </w:tc>
      </w:tr>
    </w:tbl>
    <w:p w:rsidR="00CD3BCF" w:rsidRPr="00D9257A" w:rsidRDefault="00CD3BCF" w:rsidP="00FD7838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sectPr w:rsidR="00CD3BCF" w:rsidRPr="00D9257A" w:rsidSect="00F44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BD" w:rsidRDefault="00AB1FBD" w:rsidP="003E7366">
      <w:pPr>
        <w:spacing w:after="0" w:line="240" w:lineRule="auto"/>
      </w:pPr>
      <w:r>
        <w:separator/>
      </w:r>
    </w:p>
  </w:endnote>
  <w:endnote w:type="continuationSeparator" w:id="0">
    <w:p w:rsidR="00AB1FBD" w:rsidRDefault="00AB1FBD" w:rsidP="003E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61" w:rsidRDefault="000A136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61" w:rsidRDefault="000A136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61" w:rsidRDefault="000A13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BD" w:rsidRDefault="00AB1FBD" w:rsidP="003E7366">
      <w:pPr>
        <w:spacing w:after="0" w:line="240" w:lineRule="auto"/>
      </w:pPr>
      <w:r>
        <w:separator/>
      </w:r>
    </w:p>
  </w:footnote>
  <w:footnote w:type="continuationSeparator" w:id="0">
    <w:p w:rsidR="00AB1FBD" w:rsidRDefault="00AB1FBD" w:rsidP="003E7366">
      <w:pPr>
        <w:spacing w:after="0" w:line="240" w:lineRule="auto"/>
      </w:pPr>
      <w:r>
        <w:continuationSeparator/>
      </w:r>
    </w:p>
  </w:footnote>
  <w:footnote w:id="1">
    <w:p w:rsidR="007E2634" w:rsidRPr="007229DC" w:rsidRDefault="007E2634" w:rsidP="00FD7838">
      <w:pPr>
        <w:pStyle w:val="Testonotaapidipagina"/>
        <w:jc w:val="both"/>
        <w:rPr>
          <w:sz w:val="18"/>
          <w:szCs w:val="18"/>
        </w:rPr>
      </w:pPr>
      <w:r w:rsidRPr="00CD3BCF">
        <w:rPr>
          <w:rStyle w:val="Rimandonotaapidipagina"/>
        </w:rPr>
        <w:footnoteRef/>
      </w:r>
      <w:r w:rsidRPr="00CD3BCF">
        <w:t xml:space="preserve"> </w:t>
      </w:r>
      <w:r w:rsidRPr="00474694">
        <w:rPr>
          <w:rFonts w:ascii="Tahoma" w:hAnsi="Tahoma" w:cs="Tahoma"/>
          <w:color w:val="000000"/>
          <w:shd w:val="clear" w:color="auto" w:fill="F5FDFE"/>
        </w:rPr>
        <w:t xml:space="preserve">2. </w:t>
      </w:r>
      <w:r w:rsidRPr="00474694">
        <w:rPr>
          <w:rFonts w:ascii="Tahoma" w:hAnsi="Tahoma" w:cs="Tahoma"/>
          <w:color w:val="000000"/>
          <w:sz w:val="18"/>
          <w:szCs w:val="18"/>
          <w:shd w:val="clear" w:color="auto" w:fill="F5FDFE"/>
        </w:rPr>
        <w:t>Per amministrazioni pubbliche si intendono tutte le amministrazioni dello Stato, ivi compresi gli istituti e scuole di ogni ordine e grado e le istituzioni educative, le aziende ed amministrazioni dello Stato ad ordinamento autonomo, le Regioni, le Province, i Comuni, le Comunità montane, e loro consorzi e associazioni, le istituzioni universitarie, gli Istituti autonomi case popolari, le Camere di commercio, industria, artigianato e agricoltura e loro associazioni, tutti gli enti pubblici non economici nazionali, regionali e locali, le amministrazioni, le aziende e gli enti i del Servizio sanitario nazionale, l'Agenzia per la rappresentanza negoziale delle pubbliche amministrazioni (ARAN) e le Agenzie di cui al decreto legislativo 30 luglio 1999, n. 300.</w:t>
      </w:r>
      <w:r w:rsidRPr="007229DC">
        <w:rPr>
          <w:rFonts w:ascii="Tahoma" w:hAnsi="Tahoma" w:cs="Tahoma"/>
          <w:color w:val="000000"/>
          <w:sz w:val="18"/>
          <w:szCs w:val="18"/>
          <w:shd w:val="clear" w:color="auto" w:fill="F5FDFE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61" w:rsidRDefault="000A136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Look w:val="04A0"/>
    </w:tblPr>
    <w:tblGrid>
      <w:gridCol w:w="2436"/>
      <w:gridCol w:w="5629"/>
      <w:gridCol w:w="1789"/>
    </w:tblGrid>
    <w:tr w:rsidR="007E2634" w:rsidTr="00774151">
      <w:tc>
        <w:tcPr>
          <w:tcW w:w="1668" w:type="dxa"/>
        </w:tcPr>
        <w:p w:rsidR="007E2634" w:rsidRDefault="000A1361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385502" cy="742950"/>
                <wp:effectExtent l="19050" t="0" r="5148" b="0"/>
                <wp:docPr id="2" name="Immagine 1" descr="asp basso lod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p basso lod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502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D9D9D9" w:themeFill="background1" w:themeFillShade="D9"/>
        </w:tcPr>
        <w:p w:rsidR="00BE1555" w:rsidRDefault="000A1361" w:rsidP="00774151">
          <w:pPr>
            <w:jc w:val="center"/>
            <w:rPr>
              <w:rFonts w:eastAsia="Times New Roman" w:cstheme="minorHAnsi"/>
              <w:b/>
            </w:rPr>
          </w:pPr>
          <w:r>
            <w:rPr>
              <w:rFonts w:eastAsia="Times New Roman" w:cstheme="minorHAnsi"/>
              <w:b/>
            </w:rPr>
            <w:t xml:space="preserve">ALL </w:t>
          </w:r>
          <w:r>
            <w:rPr>
              <w:rFonts w:eastAsia="Times New Roman" w:cstheme="minorHAnsi"/>
              <w:b/>
            </w:rPr>
            <w:t>03</w:t>
          </w:r>
          <w:r w:rsidR="00774151">
            <w:rPr>
              <w:rFonts w:eastAsia="Times New Roman" w:cstheme="minorHAnsi"/>
              <w:b/>
            </w:rPr>
            <w:t xml:space="preserve"> </w:t>
          </w:r>
          <w:r w:rsidR="00774151" w:rsidRPr="00A00A23">
            <w:rPr>
              <w:rFonts w:eastAsia="Times New Roman" w:cstheme="minorHAnsi"/>
              <w:b/>
            </w:rPr>
            <w:t>PTPCT</w:t>
          </w:r>
        </w:p>
        <w:p w:rsidR="00774151" w:rsidRPr="00A00A23" w:rsidRDefault="00774151" w:rsidP="00774151">
          <w:pPr>
            <w:jc w:val="center"/>
            <w:rPr>
              <w:rFonts w:eastAsia="Times New Roman" w:cstheme="minorHAnsi"/>
              <w:b/>
            </w:rPr>
          </w:pPr>
          <w:r w:rsidRPr="00A00A23">
            <w:rPr>
              <w:rFonts w:eastAsia="Times New Roman" w:cstheme="minorHAnsi"/>
              <w:b/>
            </w:rPr>
            <w:t>CLA</w:t>
          </w:r>
          <w:r>
            <w:rPr>
              <w:rFonts w:eastAsia="Times New Roman" w:cstheme="minorHAnsi"/>
              <w:b/>
            </w:rPr>
            <w:t>USOLA ANTICORRUZIONE- PERSONALE</w:t>
          </w:r>
        </w:p>
        <w:p w:rsidR="00774151" w:rsidRDefault="00774151" w:rsidP="003E7366">
          <w:pPr>
            <w:pStyle w:val="Intestazione"/>
            <w:jc w:val="both"/>
            <w:rPr>
              <w:b/>
            </w:rPr>
          </w:pPr>
        </w:p>
        <w:p w:rsidR="007E2634" w:rsidRDefault="007E2634" w:rsidP="003E7366">
          <w:pPr>
            <w:pStyle w:val="Intestazione"/>
            <w:jc w:val="both"/>
          </w:pPr>
        </w:p>
      </w:tc>
      <w:tc>
        <w:tcPr>
          <w:tcW w:w="1873" w:type="dxa"/>
        </w:tcPr>
        <w:p w:rsidR="007E2634" w:rsidRDefault="007E2634">
          <w:pPr>
            <w:pStyle w:val="Intestazione"/>
          </w:pPr>
          <w:r>
            <w:t>Rev. 0</w:t>
          </w:r>
        </w:p>
        <w:p w:rsidR="007E2634" w:rsidRDefault="00774151">
          <w:pPr>
            <w:pStyle w:val="Intestazione"/>
          </w:pPr>
          <w:r>
            <w:t>del 24/12/2016</w:t>
          </w:r>
        </w:p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7E2634" w:rsidRDefault="007E2634">
              <w:r>
                <w:t xml:space="preserve">Pagina </w:t>
              </w:r>
              <w:r w:rsidR="00AD19D2">
                <w:fldChar w:fldCharType="begin"/>
              </w:r>
              <w:r w:rsidR="00DB34BC">
                <w:instrText xml:space="preserve"> PAGE </w:instrText>
              </w:r>
              <w:r w:rsidR="00AD19D2">
                <w:fldChar w:fldCharType="separate"/>
              </w:r>
              <w:r w:rsidR="000A1361">
                <w:rPr>
                  <w:noProof/>
                </w:rPr>
                <w:t>3</w:t>
              </w:r>
              <w:r w:rsidR="00AD19D2">
                <w:rPr>
                  <w:noProof/>
                </w:rPr>
                <w:fldChar w:fldCharType="end"/>
              </w:r>
              <w:r>
                <w:t xml:space="preserve"> di </w:t>
              </w:r>
              <w:r w:rsidR="00AD19D2">
                <w:fldChar w:fldCharType="begin"/>
              </w:r>
              <w:r w:rsidR="000F1505">
                <w:instrText xml:space="preserve"> NUMPAGES  </w:instrText>
              </w:r>
              <w:r w:rsidR="00AD19D2">
                <w:fldChar w:fldCharType="separate"/>
              </w:r>
              <w:r w:rsidR="000A1361">
                <w:rPr>
                  <w:noProof/>
                </w:rPr>
                <w:t>4</w:t>
              </w:r>
              <w:r w:rsidR="00AD19D2">
                <w:rPr>
                  <w:noProof/>
                </w:rPr>
                <w:fldChar w:fldCharType="end"/>
              </w:r>
            </w:p>
          </w:sdtContent>
        </w:sdt>
        <w:p w:rsidR="007E2634" w:rsidRDefault="007E2634">
          <w:pPr>
            <w:pStyle w:val="Intestazione"/>
          </w:pPr>
        </w:p>
      </w:tc>
    </w:tr>
  </w:tbl>
  <w:p w:rsidR="007E2634" w:rsidRDefault="007E263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61" w:rsidRDefault="000A136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7366"/>
    <w:rsid w:val="00013A66"/>
    <w:rsid w:val="0005759E"/>
    <w:rsid w:val="000A1361"/>
    <w:rsid w:val="000F1505"/>
    <w:rsid w:val="001632A2"/>
    <w:rsid w:val="00193BD9"/>
    <w:rsid w:val="001D0BC7"/>
    <w:rsid w:val="001D26CB"/>
    <w:rsid w:val="001E69B5"/>
    <w:rsid w:val="001F17FA"/>
    <w:rsid w:val="001F1AB6"/>
    <w:rsid w:val="002A3430"/>
    <w:rsid w:val="002B05BD"/>
    <w:rsid w:val="002C077F"/>
    <w:rsid w:val="002C311D"/>
    <w:rsid w:val="0030588E"/>
    <w:rsid w:val="0031237C"/>
    <w:rsid w:val="00315E36"/>
    <w:rsid w:val="00350316"/>
    <w:rsid w:val="00373248"/>
    <w:rsid w:val="003B2F63"/>
    <w:rsid w:val="003C5332"/>
    <w:rsid w:val="003E7366"/>
    <w:rsid w:val="00474694"/>
    <w:rsid w:val="00492D31"/>
    <w:rsid w:val="004C177B"/>
    <w:rsid w:val="004E3570"/>
    <w:rsid w:val="004F1868"/>
    <w:rsid w:val="00504BBC"/>
    <w:rsid w:val="00550EEB"/>
    <w:rsid w:val="00605923"/>
    <w:rsid w:val="00610FE9"/>
    <w:rsid w:val="00633E5E"/>
    <w:rsid w:val="00636543"/>
    <w:rsid w:val="006C134A"/>
    <w:rsid w:val="006F0EBE"/>
    <w:rsid w:val="00716BEC"/>
    <w:rsid w:val="007229DC"/>
    <w:rsid w:val="00734570"/>
    <w:rsid w:val="00774151"/>
    <w:rsid w:val="0078051F"/>
    <w:rsid w:val="007B599F"/>
    <w:rsid w:val="007C1945"/>
    <w:rsid w:val="007D5BD4"/>
    <w:rsid w:val="007E2634"/>
    <w:rsid w:val="008177EC"/>
    <w:rsid w:val="00831999"/>
    <w:rsid w:val="008334C4"/>
    <w:rsid w:val="00840773"/>
    <w:rsid w:val="00857ACE"/>
    <w:rsid w:val="00867CC5"/>
    <w:rsid w:val="00877E6F"/>
    <w:rsid w:val="009437D7"/>
    <w:rsid w:val="00962C91"/>
    <w:rsid w:val="009D1395"/>
    <w:rsid w:val="00A05477"/>
    <w:rsid w:val="00A05D72"/>
    <w:rsid w:val="00AB1FBD"/>
    <w:rsid w:val="00AD19D2"/>
    <w:rsid w:val="00AD262F"/>
    <w:rsid w:val="00AD5E70"/>
    <w:rsid w:val="00B46075"/>
    <w:rsid w:val="00B52D8E"/>
    <w:rsid w:val="00B83650"/>
    <w:rsid w:val="00BE1555"/>
    <w:rsid w:val="00C02F2A"/>
    <w:rsid w:val="00C26290"/>
    <w:rsid w:val="00CC5673"/>
    <w:rsid w:val="00CD3BCF"/>
    <w:rsid w:val="00CE5FC7"/>
    <w:rsid w:val="00D7135E"/>
    <w:rsid w:val="00D9257A"/>
    <w:rsid w:val="00DB34BC"/>
    <w:rsid w:val="00DB4AAD"/>
    <w:rsid w:val="00DC5197"/>
    <w:rsid w:val="00E52DDA"/>
    <w:rsid w:val="00E7213C"/>
    <w:rsid w:val="00E72FF9"/>
    <w:rsid w:val="00EA67DA"/>
    <w:rsid w:val="00EB056B"/>
    <w:rsid w:val="00EB1A1F"/>
    <w:rsid w:val="00F35842"/>
    <w:rsid w:val="00F44E63"/>
    <w:rsid w:val="00F72F86"/>
    <w:rsid w:val="00F90C81"/>
    <w:rsid w:val="00FB46CA"/>
    <w:rsid w:val="00FD7838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E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E7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7366"/>
  </w:style>
  <w:style w:type="paragraph" w:styleId="Pidipagina">
    <w:name w:val="footer"/>
    <w:basedOn w:val="Normale"/>
    <w:link w:val="PidipaginaCarattere"/>
    <w:uiPriority w:val="99"/>
    <w:semiHidden/>
    <w:unhideWhenUsed/>
    <w:rsid w:val="003E7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7366"/>
  </w:style>
  <w:style w:type="table" w:styleId="Grigliatabella">
    <w:name w:val="Table Grid"/>
    <w:basedOn w:val="Tabellanormale"/>
    <w:uiPriority w:val="59"/>
    <w:rsid w:val="003E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36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6B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6B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6B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B05BD"/>
    <w:rPr>
      <w:color w:val="0000FF" w:themeColor="hyperlink"/>
      <w:u w:val="single"/>
    </w:rPr>
  </w:style>
  <w:style w:type="character" w:customStyle="1" w:styleId="tgc">
    <w:name w:val="_tgc"/>
    <w:basedOn w:val="Carpredefinitoparagrafo"/>
    <w:rsid w:val="00FD7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53342-A6B3-4E92-A54C-6111DA5C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23</cp:revision>
  <cp:lastPrinted>2017-01-09T09:42:00Z</cp:lastPrinted>
  <dcterms:created xsi:type="dcterms:W3CDTF">2016-06-15T12:51:00Z</dcterms:created>
  <dcterms:modified xsi:type="dcterms:W3CDTF">2017-01-10T14:01:00Z</dcterms:modified>
</cp:coreProperties>
</file>